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cs="Arial"/>
          <w:b/>
          <w:b/>
          <w:bCs/>
        </w:rPr>
      </w:pPr>
      <w:r>
        <w:rPr>
          <w:rFonts w:cs="Arial"/>
          <w:b/>
          <w:bCs/>
        </w:rPr>
      </w:r>
    </w:p>
    <w:p>
      <w:pPr>
        <w:pStyle w:val="Normal"/>
        <w:jc w:val="center"/>
        <w:rPr>
          <w:rFonts w:ascii="Arial" w:hAnsi="Arial"/>
          <w:sz w:val="20"/>
          <w:szCs w:val="20"/>
        </w:rPr>
      </w:pPr>
      <w:r>
        <w:rPr>
          <w:rFonts w:cs="Arial" w:ascii="Arial" w:hAnsi="Arial"/>
          <w:b/>
          <w:bCs/>
          <w:sz w:val="20"/>
          <w:szCs w:val="20"/>
        </w:rPr>
        <w:t>MINISTÉRIO DA EDUCAÇÃO</w:t>
      </w:r>
    </w:p>
    <w:p>
      <w:pPr>
        <w:pStyle w:val="Normal"/>
        <w:jc w:val="center"/>
        <w:rPr>
          <w:rFonts w:ascii="Arial" w:hAnsi="Arial" w:cs="Arial"/>
          <w:b/>
          <w:b/>
          <w:bCs/>
          <w:sz w:val="16"/>
        </w:rPr>
      </w:pPr>
      <w:r>
        <w:rPr>
          <w:rFonts w:cs="Arial" w:ascii="Arial" w:hAnsi="Arial"/>
          <w:b/>
          <w:bCs/>
          <w:sz w:val="20"/>
          <w:szCs w:val="20"/>
        </w:rPr>
        <w:t>SECRETARIA DE EDUCAÇÃO PROFISSIONAL E TECNOLÓGICA</w:t>
      </w:r>
    </w:p>
    <w:p>
      <w:pPr>
        <w:pStyle w:val="Normal"/>
        <w:jc w:val="center"/>
        <w:rPr>
          <w:rFonts w:ascii="Arial" w:hAnsi="Arial" w:cs="Arial"/>
          <w:b/>
          <w:b/>
          <w:bCs/>
          <w:sz w:val="16"/>
        </w:rPr>
      </w:pPr>
      <w:r>
        <w:rPr>
          <w:rFonts w:cs="Arial" w:ascii="Arial" w:hAnsi="Arial"/>
          <w:b/>
          <w:bCs/>
          <w:sz w:val="20"/>
          <w:szCs w:val="20"/>
        </w:rPr>
        <w:t>INSTITUTO FEDERAL DE EDUCAÇÃO, CIÊNCIA E TECNOLOGIA SUL-RIO-GRANDENSE</w:t>
      </w:r>
    </w:p>
    <w:p>
      <w:pPr>
        <w:pStyle w:val="Normal"/>
        <w:jc w:val="center"/>
        <w:rPr>
          <w:rFonts w:ascii="Arial" w:hAnsi="Arial"/>
          <w:sz w:val="20"/>
          <w:szCs w:val="20"/>
        </w:rPr>
      </w:pPr>
      <w:r>
        <w:rPr>
          <w:rFonts w:cs="Arial" w:ascii="Arial" w:hAnsi="Arial"/>
          <w:b/>
          <w:bCs/>
          <w:sz w:val="20"/>
          <w:szCs w:val="20"/>
        </w:rPr>
        <w:t>CAMPUS CAMAQUÃ</w:t>
      </w:r>
    </w:p>
    <w:p>
      <w:pPr>
        <w:pStyle w:val="Normal"/>
        <w:spacing w:lineRule="auto" w:line="276" w:before="120" w:after="120"/>
        <w:ind w:left="360" w:hanging="0"/>
        <w:contextualSpacing/>
        <w:jc w:val="center"/>
        <w:rPr>
          <w:rFonts w:ascii="Arial" w:hAnsi="Arial" w:cs="Arial"/>
          <w:b/>
          <w:b/>
          <w:bCs/>
          <w:i w:val="false"/>
          <w:i w:val="false"/>
          <w:iCs w:val="false"/>
          <w:color w:val="FF0000"/>
          <w:sz w:val="24"/>
          <w:szCs w:val="24"/>
        </w:rPr>
      </w:pPr>
      <w:r>
        <w:rPr>
          <w:rFonts w:cs="Arial" w:ascii="Arial" w:hAnsi="Arial"/>
          <w:b/>
          <w:bCs/>
          <w:i w:val="false"/>
          <w:iCs w:val="false"/>
          <w:color w:val="FF0000"/>
          <w:sz w:val="24"/>
          <w:szCs w:val="24"/>
        </w:rPr>
        <w:t>REABERTURA</w:t>
      </w:r>
    </w:p>
    <w:p>
      <w:pPr>
        <w:pStyle w:val="ListParagraph"/>
        <w:spacing w:lineRule="auto" w:line="276" w:before="120" w:after="120"/>
        <w:ind w:left="360" w:hanging="0"/>
        <w:contextualSpacing/>
        <w:jc w:val="center"/>
        <w:rPr/>
      </w:pPr>
      <w:r>
        <w:rPr>
          <w:rFonts w:cs="Arial" w:ascii="Arial" w:hAnsi="Arial"/>
          <w:b/>
          <w:bCs/>
          <w:color w:val="000000"/>
          <w:sz w:val="20"/>
          <w:szCs w:val="20"/>
        </w:rPr>
        <w:t>CONVITE  Nº 01/2019</w:t>
      </w:r>
    </w:p>
    <w:p>
      <w:pPr>
        <w:pStyle w:val="ListParagraph"/>
        <w:spacing w:lineRule="auto" w:line="276" w:before="120" w:after="120"/>
        <w:ind w:left="360" w:hanging="0"/>
        <w:contextualSpacing/>
        <w:jc w:val="center"/>
        <w:rPr/>
      </w:pPr>
      <w:r>
        <w:rPr>
          <w:rFonts w:cs="Arial" w:ascii="Arial" w:hAnsi="Arial"/>
          <w:b/>
          <w:bCs/>
          <w:color w:val="000000"/>
          <w:sz w:val="20"/>
          <w:szCs w:val="20"/>
        </w:rPr>
        <w:t>Processo Administrativo n°23339.000363.2019-47</w:t>
      </w:r>
    </w:p>
    <w:p>
      <w:pPr>
        <w:pStyle w:val="ListParagraph"/>
        <w:spacing w:lineRule="auto" w:line="276" w:before="120" w:after="120"/>
        <w:ind w:left="360" w:hanging="0"/>
        <w:contextualSpacing/>
        <w:jc w:val="center"/>
        <w:rPr>
          <w:rFonts w:ascii="Arial" w:hAnsi="Arial" w:cs="Arial"/>
          <w:b/>
          <w:b/>
          <w:bCs/>
          <w:color w:val="000000"/>
          <w:sz w:val="20"/>
          <w:szCs w:val="20"/>
        </w:rPr>
      </w:pPr>
      <w:r>
        <w:rPr>
          <w:rFonts w:cs="Arial" w:ascii="Arial" w:hAnsi="Arial"/>
          <w:b/>
          <w:bCs/>
          <w:color w:val="000000"/>
          <w:sz w:val="20"/>
          <w:szCs w:val="20"/>
        </w:rPr>
      </w:r>
    </w:p>
    <w:p>
      <w:pPr>
        <w:pStyle w:val="Normal"/>
        <w:snapToGrid w:val="false"/>
        <w:spacing w:lineRule="auto" w:line="276" w:before="120" w:after="120"/>
        <w:ind w:right="0" w:hanging="0"/>
        <w:jc w:val="both"/>
        <w:rPr/>
      </w:pPr>
      <w:r>
        <w:rPr>
          <w:rFonts w:cs="Arial" w:ascii="Arial" w:hAnsi="Arial"/>
          <w:color w:val="000000"/>
          <w:sz w:val="20"/>
          <w:szCs w:val="20"/>
        </w:rPr>
        <w:t xml:space="preserve">Torna-se público, para conhecimento dos interessados, que o(a)INSTITUTO FEDERAL DE EDUCAÇÃO, CIÊNCIA E TECNOLOGIA SUL-RIO-GRANDENSE, CNPJ/MF n.º 10.729.992/0006-50, por meio do(a) Coordenadoria de Licitações e Compras, sediado(a) na rua Ana Gonçalves da Silva, 901, Bairro Olaria, realizará licitação, na modalidade </w:t>
      </w:r>
      <w:r>
        <w:rPr>
          <w:rFonts w:cs="Arial" w:ascii="Arial" w:hAnsi="Arial"/>
          <w:b/>
          <w:color w:val="000000"/>
          <w:sz w:val="20"/>
          <w:szCs w:val="20"/>
        </w:rPr>
        <w:t>CONVITE</w:t>
      </w:r>
      <w:r>
        <w:rPr>
          <w:rFonts w:cs="Arial" w:ascii="Arial" w:hAnsi="Arial"/>
          <w:color w:val="000000"/>
          <w:sz w:val="20"/>
          <w:szCs w:val="20"/>
        </w:rPr>
        <w:t xml:space="preserve">, </w:t>
      </w:r>
      <w:r>
        <w:rPr>
          <w:rFonts w:cs="Arial" w:ascii="Arial" w:hAnsi="Arial"/>
          <w:bCs/>
          <w:color w:val="000000"/>
          <w:sz w:val="20"/>
          <w:szCs w:val="20"/>
        </w:rPr>
        <w:t>do</w:t>
      </w:r>
      <w:r>
        <w:rPr>
          <w:rFonts w:cs="Arial" w:ascii="Arial" w:hAnsi="Arial"/>
          <w:color w:val="000000"/>
          <w:sz w:val="20"/>
          <w:szCs w:val="20"/>
        </w:rPr>
        <w:t xml:space="preserve"> </w:t>
      </w:r>
      <w:r>
        <w:rPr>
          <w:rFonts w:cs="Arial" w:ascii="Arial" w:hAnsi="Arial"/>
          <w:bCs/>
          <w:iCs/>
          <w:color w:val="000000"/>
          <w:sz w:val="20"/>
          <w:szCs w:val="20"/>
        </w:rPr>
        <w:t xml:space="preserve">tipo </w:t>
      </w:r>
      <w:r>
        <w:rPr>
          <w:rFonts w:cs="Arial" w:ascii="Arial" w:hAnsi="Arial"/>
          <w:b/>
          <w:bCs/>
          <w:i w:val="false"/>
          <w:iCs w:val="false"/>
          <w:color w:val="000000"/>
          <w:sz w:val="20"/>
          <w:szCs w:val="20"/>
        </w:rPr>
        <w:t>menor preço por grupo</w:t>
      </w:r>
      <w:r>
        <w:rPr>
          <w:rFonts w:cs="Arial" w:ascii="Arial" w:hAnsi="Arial"/>
          <w:bCs/>
          <w:iCs/>
          <w:color w:val="000000"/>
          <w:sz w:val="20"/>
          <w:szCs w:val="20"/>
        </w:rPr>
        <w:t xml:space="preserve">, </w:t>
      </w:r>
      <w:r>
        <w:rPr>
          <w:rFonts w:cs="Arial" w:ascii="Arial" w:hAnsi="Arial"/>
          <w:bCs/>
          <w:sz w:val="20"/>
          <w:szCs w:val="20"/>
        </w:rPr>
        <w:t xml:space="preserve">sob a forma de execução indireta, no regime de empreitada </w:t>
      </w:r>
      <w:r>
        <w:rPr>
          <w:rFonts w:cs="Arial" w:ascii="Arial" w:hAnsi="Arial"/>
          <w:bCs/>
          <w:i w:val="false"/>
          <w:iCs w:val="false"/>
          <w:color w:val="000000"/>
          <w:sz w:val="20"/>
          <w:szCs w:val="20"/>
        </w:rPr>
        <w:t xml:space="preserve">por </w:t>
      </w:r>
      <w:r>
        <w:rPr>
          <w:rFonts w:cs="Arial" w:ascii="Arial" w:hAnsi="Arial"/>
          <w:b/>
          <w:bCs/>
          <w:i w:val="false"/>
          <w:iCs w:val="false"/>
          <w:color w:val="000000"/>
          <w:sz w:val="20"/>
          <w:szCs w:val="20"/>
        </w:rPr>
        <w:t>preço global,</w:t>
      </w:r>
      <w:r>
        <w:rPr>
          <w:rFonts w:cs="Arial" w:ascii="Arial" w:hAnsi="Arial"/>
          <w:b/>
          <w:bCs/>
          <w:color w:val="000000"/>
          <w:sz w:val="20"/>
          <w:szCs w:val="20"/>
        </w:rPr>
        <w:t xml:space="preserve"> </w:t>
      </w:r>
      <w:r>
        <w:rPr>
          <w:rFonts w:cs="Arial" w:ascii="Arial" w:hAnsi="Arial"/>
          <w:color w:val="000000"/>
          <w:sz w:val="20"/>
          <w:szCs w:val="20"/>
        </w:rPr>
        <w:t>nos termos da Lei nº 8.666, de 21 de junho de 1993, da Lei Complementar n° 123, de 14 de dezembro de 2006</w:t>
      </w:r>
      <w:r>
        <w:rPr>
          <w:rFonts w:cs="Arial" w:ascii="Arial" w:hAnsi="Arial"/>
          <w:sz w:val="20"/>
          <w:szCs w:val="20"/>
        </w:rPr>
        <w:t xml:space="preserve">, da Lei de Diretrizes Orçamentárias vigente, do Decreto n° 8.538, de 06 de outubro de 2015, </w:t>
      </w:r>
      <w:r>
        <w:rPr>
          <w:rFonts w:cs="Arial" w:ascii="Arial" w:hAnsi="Arial"/>
          <w:color w:val="000000"/>
          <w:sz w:val="20"/>
          <w:szCs w:val="20"/>
        </w:rPr>
        <w:t xml:space="preserve">Decreto nº 7.746, de 05 de junho </w:t>
      </w:r>
      <w:r>
        <w:rPr>
          <w:rFonts w:cs="Arial" w:ascii="Arial" w:hAnsi="Arial"/>
          <w:sz w:val="20"/>
          <w:szCs w:val="20"/>
        </w:rPr>
        <w:t>de 2012,</w:t>
      </w:r>
      <w:r>
        <w:rPr>
          <w:rStyle w:val="Manoel"/>
          <w:rFonts w:ascii="Arial" w:hAnsi="Arial"/>
          <w:color w:val="00000A"/>
          <w:sz w:val="20"/>
          <w:szCs w:val="20"/>
        </w:rPr>
        <w:t xml:space="preserve"> </w:t>
      </w:r>
      <w:r>
        <w:rPr>
          <w:rFonts w:cs="Arial" w:ascii="Arial" w:hAnsi="Arial"/>
          <w:sz w:val="20"/>
          <w:szCs w:val="20"/>
        </w:rPr>
        <w:t xml:space="preserve">do </w:t>
      </w:r>
      <w:r>
        <w:rPr>
          <w:rFonts w:cs="Arial" w:ascii="Arial" w:hAnsi="Arial"/>
          <w:color w:val="000000" w:themeColor="text1"/>
          <w:sz w:val="20"/>
          <w:szCs w:val="20"/>
        </w:rPr>
        <w:t>Decreto 9.507, de 21 de setembro de 2018</w:t>
      </w:r>
      <w:r>
        <w:rPr>
          <w:rFonts w:cs="Arial" w:ascii="Arial" w:hAnsi="Arial"/>
          <w:sz w:val="20"/>
          <w:szCs w:val="20"/>
        </w:rPr>
        <w:t>,</w:t>
      </w:r>
      <w:r>
        <w:rPr>
          <w:rFonts w:cs="Arial" w:ascii="Arial" w:hAnsi="Arial"/>
          <w:i/>
          <w:color w:val="FF0000"/>
          <w:sz w:val="20"/>
          <w:szCs w:val="20"/>
        </w:rPr>
        <w:t xml:space="preserve"> </w:t>
      </w:r>
      <w:r>
        <w:rPr>
          <w:rFonts w:cs="Arial" w:ascii="Arial" w:hAnsi="Arial"/>
          <w:color w:val="000000" w:themeColor="text1"/>
          <w:sz w:val="20"/>
          <w:szCs w:val="20"/>
        </w:rPr>
        <w:t xml:space="preserve">das Instruções Normativas SEGES/MP nº 05, de 26 de maio de 2017, </w:t>
      </w:r>
      <w:r>
        <w:rPr>
          <w:rFonts w:cs="Arial" w:ascii="Arial" w:hAnsi="Arial"/>
          <w:sz w:val="20"/>
          <w:szCs w:val="20"/>
        </w:rPr>
        <w:t xml:space="preserve">Instrução Normativa SLTI/MP nº 1, de 19 de janeiro de 2010, da Instrução Normativa </w:t>
      </w:r>
      <w:r>
        <w:rPr>
          <w:rFonts w:cs="Arial" w:ascii="Arial" w:hAnsi="Arial"/>
          <w:color w:val="000000"/>
          <w:sz w:val="20"/>
          <w:szCs w:val="20"/>
        </w:rPr>
        <w:t xml:space="preserve">SEGES/MP nº 3, de 26 de abril de 2018 e, ainda, de acordo com as condições estabelecidas neste Convite. </w:t>
      </w:r>
    </w:p>
    <w:p>
      <w:pPr>
        <w:pStyle w:val="Normal"/>
        <w:snapToGrid w:val="false"/>
        <w:spacing w:lineRule="auto" w:line="276" w:before="120" w:after="120"/>
        <w:jc w:val="both"/>
        <w:rPr>
          <w:rFonts w:ascii="Arial" w:hAnsi="Arial" w:cs="Arial"/>
          <w:b/>
          <w:b/>
          <w:sz w:val="20"/>
          <w:szCs w:val="20"/>
        </w:rPr>
      </w:pPr>
      <w:r>
        <w:rPr>
          <w:rFonts w:cs="Arial" w:ascii="Arial" w:hAnsi="Arial"/>
          <w:b/>
          <w:sz w:val="20"/>
          <w:szCs w:val="20"/>
        </w:rPr>
      </w:r>
    </w:p>
    <w:p>
      <w:pPr>
        <w:pStyle w:val="Nivel1"/>
        <w:numPr>
          <w:ilvl w:val="0"/>
          <w:numId w:val="2"/>
        </w:numPr>
        <w:ind w:left="0" w:hanging="0"/>
        <w:rPr>
          <w:rFonts w:ascii="Arial" w:hAnsi="Arial"/>
          <w:sz w:val="20"/>
          <w:szCs w:val="20"/>
        </w:rPr>
      </w:pPr>
      <w:r>
        <w:rPr>
          <w:rFonts w:ascii="Arial" w:hAnsi="Arial"/>
          <w:sz w:val="20"/>
          <w:szCs w:val="20"/>
        </w:rPr>
        <w:t>HORÁRIO, DATA E LOCAL PARA A ENTREGA DOS ENVELOPES CONTENDO A DOCUMENTAÇÃO E PROPOSTAS:</w:t>
      </w:r>
    </w:p>
    <w:p>
      <w:pPr>
        <w:pStyle w:val="ListParagraph"/>
        <w:widowControl/>
        <w:numPr>
          <w:ilvl w:val="1"/>
          <w:numId w:val="3"/>
        </w:numPr>
        <w:suppressAutoHyphens w:val="false"/>
        <w:spacing w:lineRule="auto" w:line="276" w:before="120" w:after="120"/>
        <w:ind w:left="425" w:hanging="0"/>
        <w:contextualSpacing/>
        <w:jc w:val="both"/>
        <w:rPr/>
      </w:pPr>
      <w:r>
        <w:rPr>
          <w:rFonts w:cs="Arial" w:ascii="Arial" w:hAnsi="Arial"/>
          <w:sz w:val="20"/>
          <w:szCs w:val="20"/>
        </w:rPr>
        <w:t xml:space="preserve">Até às </w:t>
      </w:r>
      <w:bookmarkStart w:id="0" w:name="__DdeLink__1742_629425040"/>
      <w:r>
        <w:rPr>
          <w:rFonts w:cs="Arial" w:ascii="Arial" w:hAnsi="Arial"/>
          <w:sz w:val="20"/>
          <w:szCs w:val="20"/>
        </w:rPr>
        <w:t>09 horas, do dia 09 de Agosto de 2019</w:t>
      </w:r>
      <w:bookmarkEnd w:id="0"/>
      <w:r>
        <w:rPr>
          <w:rFonts w:cs="Arial" w:ascii="Arial" w:hAnsi="Arial"/>
          <w:sz w:val="20"/>
          <w:szCs w:val="20"/>
        </w:rPr>
        <w:t>, no endereço Ana Gonçalves da Silva, 901, Bairro Olaria, Camaquã/RS, para entrega dos Envelopes n° 01, com os documentos de habilitação, e n. 02, com a proposta, além das declarações complementares.</w:t>
      </w:r>
    </w:p>
    <w:p>
      <w:pPr>
        <w:pStyle w:val="Nivel2"/>
        <w:ind w:hanging="0"/>
        <w:rPr>
          <w:rFonts w:ascii="Arial" w:hAnsi="Arial" w:cs="Arial"/>
          <w:sz w:val="20"/>
          <w:szCs w:val="20"/>
        </w:rPr>
      </w:pPr>
      <w:r>
        <w:rPr>
          <w:rFonts w:cs="Arial" w:ascii="Arial" w:hAnsi="Arial"/>
          <w:sz w:val="20"/>
          <w:szCs w:val="20"/>
        </w:rPr>
      </w:r>
    </w:p>
    <w:p>
      <w:pPr>
        <w:pStyle w:val="Nivel1"/>
        <w:numPr>
          <w:ilvl w:val="0"/>
          <w:numId w:val="2"/>
        </w:numPr>
        <w:ind w:left="0" w:hanging="0"/>
        <w:rPr>
          <w:rFonts w:ascii="Arial" w:hAnsi="Arial"/>
        </w:rPr>
      </w:pPr>
      <w:r>
        <w:rPr>
          <w:rFonts w:ascii="Arial" w:hAnsi="Arial"/>
          <w:sz w:val="20"/>
          <w:szCs w:val="20"/>
        </w:rPr>
        <w:t>HORÁRIO, DATA E LOCAL PARA INÍCIO DA SESSÃO PÚBLICA</w:t>
      </w:r>
    </w:p>
    <w:p>
      <w:pPr>
        <w:pStyle w:val="Nivel2"/>
        <w:numPr>
          <w:ilvl w:val="1"/>
          <w:numId w:val="2"/>
        </w:numPr>
        <w:ind w:left="425" w:hanging="0"/>
        <w:rPr/>
      </w:pPr>
      <w:r>
        <w:rPr>
          <w:rFonts w:cs="Arial" w:ascii="Arial" w:hAnsi="Arial"/>
          <w:sz w:val="20"/>
          <w:szCs w:val="20"/>
        </w:rPr>
        <w:t>Às 09 horas, do dia 09 de Agosto de 2019, no setor COLIC, localizado no endereço Ana Gonçalves da Silva, 901, Bairro Olaria, Camaquã/RS terá início a sessão pública, prosseguindo-se com o credenciamento dos participantes e a abertura dos envelopes contendo a documentação de habilitação e a realização de consulta “on line” ao SICAF.</w:t>
      </w:r>
    </w:p>
    <w:p>
      <w:pPr>
        <w:pStyle w:val="Nivel2"/>
        <w:numPr>
          <w:ilvl w:val="1"/>
          <w:numId w:val="2"/>
        </w:numPr>
        <w:ind w:left="425" w:hanging="0"/>
        <w:rPr>
          <w:rFonts w:ascii="Arial" w:hAnsi="Arial" w:cs="Arial"/>
        </w:rPr>
      </w:pPr>
      <w:r>
        <w:rPr>
          <w:rFonts w:cs="Arial" w:ascii="Arial" w:hAnsi="Arial"/>
          <w:sz w:val="20"/>
          <w:szCs w:val="20"/>
        </w:rPr>
        <w:t xml:space="preserve">Os conjuntos de documentos relativos à habilitação e à proposta de preços deverão ser entregues separadamente, em envelopes fechados e lacrados, rubricados no fecho e identificados com o nome do licitante e contendo em suas partes externas e frontais, em caracteres destacados, os seguintes dizeres: </w:t>
      </w:r>
    </w:p>
    <w:tbl>
      <w:tblPr>
        <w:tblW w:w="6633" w:type="dxa"/>
        <w:jc w:val="left"/>
        <w:tblInd w:w="1454"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10" w:type="dxa"/>
          <w:bottom w:w="0" w:type="dxa"/>
          <w:right w:w="70" w:type="dxa"/>
        </w:tblCellMar>
        <w:tblLook w:firstRow="0" w:noVBand="0" w:lastRow="0" w:firstColumn="0" w:lastColumn="0" w:noHBand="0" w:val="0000"/>
      </w:tblPr>
      <w:tblGrid>
        <w:gridCol w:w="6633"/>
      </w:tblGrid>
      <w:tr>
        <w:trPr>
          <w:trHeight w:val="1446" w:hRule="atLeast"/>
          <w:cantSplit w:val="true"/>
        </w:trPr>
        <w:tc>
          <w:tcPr>
            <w:tcW w:w="663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0" w:type="dxa"/>
            </w:tcMar>
          </w:tcPr>
          <w:p>
            <w:pPr>
              <w:pStyle w:val="Normal"/>
              <w:tabs>
                <w:tab w:val="left" w:pos="7811" w:leader="none"/>
              </w:tabs>
              <w:snapToGrid w:val="false"/>
              <w:spacing w:lineRule="auto" w:line="276" w:before="120" w:after="120"/>
              <w:rPr>
                <w:rFonts w:ascii="Arial" w:hAnsi="Arial" w:cs="Arial"/>
                <w:b/>
                <w:b/>
                <w:sz w:val="20"/>
                <w:szCs w:val="20"/>
              </w:rPr>
            </w:pPr>
            <w:r>
              <w:rPr>
                <w:rFonts w:cs="Arial" w:ascii="Arial" w:hAnsi="Arial"/>
                <w:b/>
                <w:sz w:val="20"/>
                <w:szCs w:val="20"/>
              </w:rPr>
            </w:r>
          </w:p>
          <w:p>
            <w:pPr>
              <w:pStyle w:val="ListParagraph"/>
              <w:tabs>
                <w:tab w:val="left" w:pos="7811" w:leader="none"/>
              </w:tabs>
              <w:spacing w:lineRule="auto" w:line="276" w:before="120" w:after="120"/>
              <w:ind w:left="360" w:hanging="0"/>
              <w:contextualSpacing/>
              <w:jc w:val="center"/>
              <w:rPr>
                <w:rFonts w:ascii="Arial" w:hAnsi="Arial" w:cs="Arial"/>
                <w:sz w:val="20"/>
              </w:rPr>
            </w:pPr>
            <w:r>
              <w:rPr>
                <w:rFonts w:cs="Arial" w:ascii="Arial" w:hAnsi="Arial"/>
                <w:sz w:val="20"/>
                <w:szCs w:val="20"/>
              </w:rPr>
              <w:t>ENVELOPE Nº 1</w:t>
            </w:r>
          </w:p>
          <w:p>
            <w:pPr>
              <w:pStyle w:val="ListParagraph"/>
              <w:tabs>
                <w:tab w:val="left" w:pos="7811" w:leader="none"/>
              </w:tabs>
              <w:spacing w:lineRule="auto" w:line="276" w:before="120" w:after="120"/>
              <w:ind w:left="360" w:hanging="0"/>
              <w:contextualSpacing/>
              <w:jc w:val="center"/>
              <w:rPr>
                <w:rFonts w:ascii="Arial" w:hAnsi="Arial" w:cs="Arial"/>
                <w:sz w:val="20"/>
              </w:rPr>
            </w:pPr>
            <w:r>
              <w:rPr>
                <w:rFonts w:cs="Arial" w:ascii="Arial" w:hAnsi="Arial"/>
                <w:sz w:val="20"/>
                <w:szCs w:val="20"/>
              </w:rPr>
              <w:t>DOCUMENTOS DE HABILITAÇÃO</w:t>
            </w:r>
          </w:p>
          <w:p>
            <w:pPr>
              <w:pStyle w:val="ListParagraph"/>
              <w:tabs>
                <w:tab w:val="left" w:pos="7811" w:leader="none"/>
              </w:tabs>
              <w:spacing w:lineRule="auto" w:line="276" w:before="120" w:after="120"/>
              <w:ind w:left="360" w:hanging="0"/>
              <w:contextualSpacing/>
              <w:jc w:val="center"/>
              <w:rPr>
                <w:rFonts w:ascii="Arial" w:hAnsi="Arial"/>
                <w:i w:val="false"/>
                <w:i w:val="false"/>
                <w:iCs w:val="false"/>
                <w:color w:val="000000"/>
                <w:sz w:val="20"/>
                <w:szCs w:val="20"/>
              </w:rPr>
            </w:pPr>
            <w:r>
              <w:rPr>
                <w:rFonts w:cs="Arial" w:ascii="Arial" w:hAnsi="Arial"/>
                <w:i w:val="false"/>
                <w:iCs w:val="false"/>
                <w:color w:val="000000"/>
                <w:sz w:val="20"/>
                <w:szCs w:val="20"/>
              </w:rPr>
              <w:t>INSTITUTO FEDERAL SUL-RIO-GRANDENSE</w:t>
            </w:r>
          </w:p>
          <w:p>
            <w:pPr>
              <w:pStyle w:val="ListParagraph"/>
              <w:tabs>
                <w:tab w:val="left" w:pos="7811" w:leader="none"/>
              </w:tabs>
              <w:spacing w:lineRule="auto" w:line="276" w:before="120" w:after="120"/>
              <w:ind w:left="360" w:hanging="0"/>
              <w:contextualSpacing/>
              <w:jc w:val="center"/>
              <w:rPr>
                <w:rFonts w:ascii="Arial" w:hAnsi="Arial"/>
                <w:i w:val="false"/>
                <w:i w:val="false"/>
                <w:iCs w:val="false"/>
                <w:color w:val="000000"/>
                <w:sz w:val="20"/>
                <w:szCs w:val="20"/>
              </w:rPr>
            </w:pPr>
            <w:r>
              <w:rPr>
                <w:rFonts w:cs="Arial" w:ascii="Arial" w:hAnsi="Arial"/>
                <w:i/>
                <w:iCs/>
                <w:color w:val="000000"/>
                <w:sz w:val="20"/>
                <w:szCs w:val="20"/>
              </w:rPr>
              <w:t>CAMPUS</w:t>
            </w:r>
            <w:r>
              <w:rPr>
                <w:rFonts w:cs="Arial" w:ascii="Arial" w:hAnsi="Arial"/>
                <w:i w:val="false"/>
                <w:iCs w:val="false"/>
                <w:color w:val="000000"/>
                <w:sz w:val="20"/>
                <w:szCs w:val="20"/>
              </w:rPr>
              <w:t xml:space="preserve"> CAMAQUÃ</w:t>
            </w:r>
          </w:p>
          <w:p>
            <w:pPr>
              <w:pStyle w:val="ListParagraph"/>
              <w:tabs>
                <w:tab w:val="left" w:pos="7811" w:leader="none"/>
              </w:tabs>
              <w:spacing w:lineRule="auto" w:line="276" w:before="120" w:after="120"/>
              <w:ind w:left="360" w:hanging="0"/>
              <w:contextualSpacing/>
              <w:jc w:val="center"/>
              <w:rPr>
                <w:rFonts w:ascii="Arial" w:hAnsi="Arial" w:cs="Arial"/>
                <w:sz w:val="20"/>
              </w:rPr>
            </w:pPr>
            <w:r>
              <w:rPr>
                <w:rFonts w:cs="Arial" w:ascii="Arial" w:hAnsi="Arial"/>
                <w:sz w:val="20"/>
                <w:szCs w:val="20"/>
              </w:rPr>
              <w:t>CONVITE Nº ........./20..</w:t>
            </w:r>
          </w:p>
          <w:p>
            <w:pPr>
              <w:pStyle w:val="ListParagraph"/>
              <w:tabs>
                <w:tab w:val="left" w:pos="7811" w:leader="none"/>
              </w:tabs>
              <w:spacing w:lineRule="auto" w:line="276" w:before="120" w:after="120"/>
              <w:ind w:left="360" w:hanging="0"/>
              <w:contextualSpacing/>
              <w:jc w:val="center"/>
              <w:rPr>
                <w:rFonts w:ascii="Arial" w:hAnsi="Arial" w:cs="Arial"/>
                <w:sz w:val="20"/>
              </w:rPr>
            </w:pPr>
            <w:r>
              <w:rPr>
                <w:rFonts w:cs="Arial" w:ascii="Arial" w:hAnsi="Arial"/>
                <w:sz w:val="20"/>
                <w:szCs w:val="20"/>
              </w:rPr>
              <w:t>(RAZÃO SOCIAL DO PROPONENTE)</w:t>
            </w:r>
          </w:p>
          <w:p>
            <w:pPr>
              <w:pStyle w:val="ListParagraph"/>
              <w:tabs>
                <w:tab w:val="left" w:pos="7797" w:leader="none"/>
              </w:tabs>
              <w:spacing w:lineRule="auto" w:line="276" w:before="120" w:after="120"/>
              <w:ind w:left="360" w:hanging="0"/>
              <w:contextualSpacing/>
              <w:jc w:val="center"/>
              <w:rPr>
                <w:rFonts w:ascii="Arial" w:hAnsi="Arial" w:cs="Arial"/>
                <w:sz w:val="20"/>
              </w:rPr>
            </w:pPr>
            <w:r>
              <w:rPr>
                <w:rFonts w:cs="Arial" w:ascii="Arial" w:hAnsi="Arial"/>
                <w:sz w:val="20"/>
                <w:szCs w:val="20"/>
              </w:rPr>
              <w:t>(CNPJ)</w:t>
            </w:r>
          </w:p>
          <w:p>
            <w:pPr>
              <w:pStyle w:val="Normal"/>
              <w:tabs>
                <w:tab w:val="left" w:pos="7797" w:leader="none"/>
              </w:tabs>
              <w:spacing w:lineRule="auto" w:line="276" w:before="120" w:after="120"/>
              <w:jc w:val="center"/>
              <w:rPr>
                <w:rFonts w:ascii="Arial" w:hAnsi="Arial" w:cs="Arial"/>
                <w:sz w:val="20"/>
                <w:szCs w:val="20"/>
              </w:rPr>
            </w:pPr>
            <w:r>
              <w:rPr>
                <w:rFonts w:cs="Arial" w:ascii="Arial" w:hAnsi="Arial"/>
                <w:sz w:val="20"/>
                <w:szCs w:val="20"/>
              </w:rPr>
            </w:r>
          </w:p>
        </w:tc>
      </w:tr>
    </w:tbl>
    <w:p>
      <w:pPr>
        <w:pStyle w:val="Normal"/>
        <w:spacing w:lineRule="auto" w:line="276" w:before="120" w:after="120"/>
        <w:jc w:val="both"/>
        <w:rPr>
          <w:rFonts w:ascii="Arial" w:hAnsi="Arial" w:cs="Arial"/>
          <w:sz w:val="20"/>
          <w:szCs w:val="20"/>
        </w:rPr>
      </w:pPr>
      <w:r>
        <w:rPr>
          <w:rFonts w:cs="Arial" w:ascii="Arial" w:hAnsi="Arial"/>
          <w:sz w:val="20"/>
          <w:szCs w:val="20"/>
        </w:rPr>
      </w:r>
    </w:p>
    <w:p>
      <w:pPr>
        <w:pStyle w:val="Normal"/>
        <w:spacing w:lineRule="auto" w:line="276" w:before="120" w:after="120"/>
        <w:jc w:val="both"/>
        <w:rPr>
          <w:rFonts w:ascii="Arial" w:hAnsi="Arial" w:cs="Arial"/>
          <w:sz w:val="20"/>
          <w:szCs w:val="20"/>
        </w:rPr>
      </w:pPr>
      <w:r>
        <w:rPr>
          <w:rFonts w:cs="Arial" w:ascii="Arial" w:hAnsi="Arial"/>
          <w:sz w:val="20"/>
          <w:szCs w:val="20"/>
        </w:rPr>
      </w:r>
    </w:p>
    <w:tbl>
      <w:tblPr>
        <w:tblW w:w="6603" w:type="dxa"/>
        <w:jc w:val="left"/>
        <w:tblInd w:w="1483"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10" w:type="dxa"/>
          <w:bottom w:w="0" w:type="dxa"/>
          <w:right w:w="70" w:type="dxa"/>
        </w:tblCellMar>
        <w:tblLook w:firstRow="0" w:noVBand="0" w:lastRow="0" w:firstColumn="0" w:lastColumn="0" w:noHBand="0" w:val="0000"/>
      </w:tblPr>
      <w:tblGrid>
        <w:gridCol w:w="6603"/>
      </w:tblGrid>
      <w:tr>
        <w:trPr>
          <w:cantSplit w:val="true"/>
        </w:trPr>
        <w:tc>
          <w:tcPr>
            <w:tcW w:w="660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0" w:type="dxa"/>
            </w:tcMar>
          </w:tcPr>
          <w:p>
            <w:pPr>
              <w:pStyle w:val="ListParagraph"/>
              <w:tabs>
                <w:tab w:val="left" w:pos="7811" w:leader="none"/>
              </w:tabs>
              <w:snapToGrid w:val="false"/>
              <w:spacing w:lineRule="auto" w:line="276" w:before="120" w:after="120"/>
              <w:ind w:left="360" w:hanging="0"/>
              <w:contextualSpacing/>
              <w:rPr>
                <w:rFonts w:ascii="Arial" w:hAnsi="Arial" w:cs="Arial"/>
                <w:b/>
                <w:b/>
                <w:sz w:val="20"/>
                <w:szCs w:val="20"/>
              </w:rPr>
            </w:pPr>
            <w:r>
              <w:rPr>
                <w:rFonts w:cs="Arial" w:ascii="Arial" w:hAnsi="Arial"/>
                <w:b/>
                <w:sz w:val="20"/>
                <w:szCs w:val="20"/>
              </w:rPr>
            </w:r>
          </w:p>
          <w:p>
            <w:pPr>
              <w:pStyle w:val="ListParagraph"/>
              <w:tabs>
                <w:tab w:val="left" w:pos="7811" w:leader="none"/>
              </w:tabs>
              <w:spacing w:lineRule="auto" w:line="276" w:before="120" w:after="120"/>
              <w:ind w:left="360" w:hanging="0"/>
              <w:contextualSpacing/>
              <w:jc w:val="center"/>
              <w:rPr>
                <w:rFonts w:ascii="Arial" w:hAnsi="Arial" w:cs="Arial"/>
                <w:sz w:val="20"/>
              </w:rPr>
            </w:pPr>
            <w:r>
              <w:rPr>
                <w:rFonts w:cs="Arial" w:ascii="Arial" w:hAnsi="Arial"/>
                <w:sz w:val="20"/>
                <w:szCs w:val="20"/>
              </w:rPr>
              <w:t>ENVELOPE Nº 2</w:t>
            </w:r>
          </w:p>
          <w:p>
            <w:pPr>
              <w:pStyle w:val="ListParagraph"/>
              <w:tabs>
                <w:tab w:val="left" w:pos="7811" w:leader="none"/>
              </w:tabs>
              <w:spacing w:lineRule="auto" w:line="276" w:before="120" w:after="120"/>
              <w:ind w:left="360" w:hanging="0"/>
              <w:contextualSpacing/>
              <w:jc w:val="center"/>
              <w:rPr>
                <w:rFonts w:ascii="Arial" w:hAnsi="Arial" w:cs="Arial"/>
                <w:sz w:val="20"/>
              </w:rPr>
            </w:pPr>
            <w:r>
              <w:rPr>
                <w:rFonts w:cs="Arial" w:ascii="Arial" w:hAnsi="Arial"/>
                <w:sz w:val="20"/>
                <w:szCs w:val="20"/>
              </w:rPr>
              <w:t>PROPOSTA</w:t>
            </w:r>
          </w:p>
          <w:p>
            <w:pPr>
              <w:pStyle w:val="ListParagraph"/>
              <w:tabs>
                <w:tab w:val="left" w:pos="7811" w:leader="none"/>
              </w:tabs>
              <w:spacing w:lineRule="auto" w:line="276" w:before="120" w:after="120"/>
              <w:ind w:left="360" w:hanging="0"/>
              <w:contextualSpacing/>
              <w:jc w:val="center"/>
              <w:rPr>
                <w:rFonts w:ascii="Arial" w:hAnsi="Arial"/>
                <w:i w:val="false"/>
                <w:i w:val="false"/>
                <w:iCs w:val="false"/>
                <w:color w:val="000000"/>
                <w:sz w:val="20"/>
                <w:szCs w:val="20"/>
              </w:rPr>
            </w:pPr>
            <w:r>
              <w:rPr>
                <w:rFonts w:cs="Arial" w:ascii="Arial" w:hAnsi="Arial"/>
                <w:i w:val="false"/>
                <w:iCs w:val="false"/>
                <w:color w:val="000000"/>
                <w:sz w:val="20"/>
                <w:szCs w:val="20"/>
              </w:rPr>
              <w:t>INSTITUTO FEDERAL SUL-RIO-GRANDENSE</w:t>
            </w:r>
          </w:p>
          <w:p>
            <w:pPr>
              <w:pStyle w:val="ListParagraph"/>
              <w:tabs>
                <w:tab w:val="left" w:pos="7811" w:leader="none"/>
              </w:tabs>
              <w:spacing w:lineRule="auto" w:line="276" w:before="120" w:after="120"/>
              <w:ind w:left="360" w:hanging="0"/>
              <w:contextualSpacing/>
              <w:jc w:val="center"/>
              <w:rPr>
                <w:rFonts w:ascii="Arial" w:hAnsi="Arial"/>
                <w:i w:val="false"/>
                <w:i w:val="false"/>
                <w:iCs w:val="false"/>
                <w:color w:val="000000"/>
                <w:sz w:val="20"/>
                <w:szCs w:val="20"/>
              </w:rPr>
            </w:pPr>
            <w:r>
              <w:rPr>
                <w:rFonts w:cs="Arial" w:ascii="Arial" w:hAnsi="Arial"/>
                <w:i/>
                <w:iCs w:val="false"/>
                <w:color w:val="000000"/>
                <w:sz w:val="20"/>
                <w:szCs w:val="20"/>
              </w:rPr>
              <w:t xml:space="preserve">CAMPUS </w:t>
            </w:r>
            <w:r>
              <w:rPr>
                <w:rFonts w:cs="Arial" w:ascii="Arial" w:hAnsi="Arial"/>
                <w:i w:val="false"/>
                <w:iCs w:val="false"/>
                <w:color w:val="000000"/>
                <w:sz w:val="20"/>
                <w:szCs w:val="20"/>
              </w:rPr>
              <w:t>CAMAQUÃ</w:t>
            </w:r>
          </w:p>
          <w:p>
            <w:pPr>
              <w:pStyle w:val="ListParagraph"/>
              <w:tabs>
                <w:tab w:val="left" w:pos="7811" w:leader="none"/>
              </w:tabs>
              <w:spacing w:lineRule="auto" w:line="276" w:before="120" w:after="120"/>
              <w:ind w:left="360" w:hanging="0"/>
              <w:contextualSpacing/>
              <w:jc w:val="center"/>
              <w:rPr>
                <w:rFonts w:ascii="Arial" w:hAnsi="Arial" w:cs="Arial"/>
                <w:sz w:val="20"/>
              </w:rPr>
            </w:pPr>
            <w:r>
              <w:rPr>
                <w:rFonts w:cs="Arial" w:ascii="Arial" w:hAnsi="Arial"/>
                <w:sz w:val="20"/>
                <w:szCs w:val="20"/>
              </w:rPr>
              <w:t>CONVITE Nº ........./20..</w:t>
            </w:r>
          </w:p>
          <w:p>
            <w:pPr>
              <w:pStyle w:val="ListParagraph"/>
              <w:tabs>
                <w:tab w:val="left" w:pos="7811" w:leader="none"/>
              </w:tabs>
              <w:spacing w:lineRule="auto" w:line="276" w:before="120" w:after="120"/>
              <w:ind w:left="360" w:hanging="0"/>
              <w:contextualSpacing/>
              <w:jc w:val="center"/>
              <w:rPr>
                <w:rFonts w:ascii="Arial" w:hAnsi="Arial" w:cs="Arial"/>
                <w:sz w:val="20"/>
              </w:rPr>
            </w:pPr>
            <w:r>
              <w:rPr>
                <w:rFonts w:cs="Arial" w:ascii="Arial" w:hAnsi="Arial"/>
                <w:sz w:val="20"/>
                <w:szCs w:val="20"/>
              </w:rPr>
              <w:t>(RAZÃO SOCIAL DO PROPONENTE)</w:t>
            </w:r>
          </w:p>
          <w:p>
            <w:pPr>
              <w:pStyle w:val="ListParagraph"/>
              <w:tabs>
                <w:tab w:val="left" w:pos="7797" w:leader="none"/>
              </w:tabs>
              <w:spacing w:lineRule="auto" w:line="276" w:before="120" w:after="120"/>
              <w:ind w:left="360" w:hanging="0"/>
              <w:contextualSpacing/>
              <w:jc w:val="center"/>
              <w:rPr>
                <w:rFonts w:ascii="Arial" w:hAnsi="Arial" w:cs="Arial"/>
                <w:sz w:val="20"/>
              </w:rPr>
            </w:pPr>
            <w:r>
              <w:rPr>
                <w:rFonts w:cs="Arial" w:ascii="Arial" w:hAnsi="Arial"/>
                <w:sz w:val="20"/>
                <w:szCs w:val="20"/>
              </w:rPr>
              <w:t>(CNPJ)</w:t>
            </w:r>
          </w:p>
          <w:p>
            <w:pPr>
              <w:pStyle w:val="Normal"/>
              <w:tabs>
                <w:tab w:val="left" w:pos="7797" w:leader="none"/>
              </w:tabs>
              <w:spacing w:lineRule="auto" w:line="276" w:before="120" w:after="120"/>
              <w:jc w:val="center"/>
              <w:rPr>
                <w:rFonts w:ascii="Arial" w:hAnsi="Arial" w:cs="Arial"/>
                <w:b/>
                <w:b/>
                <w:sz w:val="20"/>
                <w:szCs w:val="20"/>
              </w:rPr>
            </w:pPr>
            <w:r>
              <w:rPr>
                <w:rFonts w:cs="Arial" w:ascii="Arial" w:hAnsi="Arial"/>
                <w:b/>
                <w:sz w:val="20"/>
                <w:szCs w:val="20"/>
              </w:rPr>
            </w:r>
          </w:p>
        </w:tc>
      </w:tr>
    </w:tbl>
    <w:p>
      <w:pPr>
        <w:pStyle w:val="Normal"/>
        <w:spacing w:lineRule="auto" w:line="276" w:before="120" w:after="120"/>
        <w:jc w:val="both"/>
        <w:rPr>
          <w:rFonts w:ascii="Arial" w:hAnsi="Arial" w:cs="Arial"/>
          <w:sz w:val="20"/>
          <w:szCs w:val="20"/>
        </w:rPr>
      </w:pPr>
      <w:r>
        <w:rPr>
          <w:rFonts w:cs="Arial" w:ascii="Arial" w:hAnsi="Arial"/>
          <w:sz w:val="20"/>
          <w:szCs w:val="20"/>
        </w:rPr>
      </w:r>
    </w:p>
    <w:p>
      <w:pPr>
        <w:pStyle w:val="Nivel2"/>
        <w:numPr>
          <w:ilvl w:val="1"/>
          <w:numId w:val="2"/>
        </w:numPr>
        <w:ind w:left="425" w:hanging="0"/>
        <w:rPr>
          <w:rFonts w:ascii="Arial" w:hAnsi="Arial" w:cs="Arial"/>
        </w:rPr>
      </w:pPr>
      <w:r>
        <w:rPr>
          <w:rFonts w:cs="Arial" w:ascii="Arial" w:hAnsi="Arial"/>
          <w:sz w:val="20"/>
          <w:szCs w:val="20"/>
        </w:rPr>
        <w:t xml:space="preserve">Os licitantes interessados em participar do certame não necessitam encaminhar seus representantes legais para entregar os envelopes com a documentação e as propostas, podendo, inclusive, encaminhá-los via Correio ou outro meio similar de entrega, atentando para as datas e horários finais para recebimento dos mesmos, constantes neste Convite. A correspondência deverá ser endereçada com aviso de recebimento para a Comissão de Licitação no endereço indicado no Item 1 deste Edital </w:t>
      </w:r>
      <w:r>
        <w:rPr>
          <w:rStyle w:val="Manoel"/>
          <w:rFonts w:ascii="Arial" w:hAnsi="Arial"/>
          <w:color w:val="00000A"/>
          <w:sz w:val="20"/>
          <w:szCs w:val="20"/>
        </w:rPr>
        <w:t>e conter os dois envelopes acima mencionados,</w:t>
      </w:r>
      <w:r>
        <w:rPr>
          <w:rFonts w:cs="Arial" w:ascii="Arial" w:hAnsi="Arial"/>
          <w:sz w:val="20"/>
          <w:szCs w:val="20"/>
        </w:rPr>
        <w:t xml:space="preserve"> </w:t>
      </w:r>
      <w:r>
        <w:rPr>
          <w:rStyle w:val="Manoel"/>
          <w:rFonts w:ascii="Arial" w:hAnsi="Arial"/>
          <w:color w:val="00000A"/>
          <w:sz w:val="20"/>
          <w:szCs w:val="20"/>
        </w:rPr>
        <w:t>além das declarações complementares, com antecedência mínima de 1 (uma) hora do momento marcado para abertura da sessão pública.</w:t>
      </w:r>
    </w:p>
    <w:p>
      <w:pPr>
        <w:pStyle w:val="Normal"/>
        <w:spacing w:lineRule="auto" w:line="276" w:before="120" w:after="120"/>
        <w:jc w:val="both"/>
        <w:rPr>
          <w:rFonts w:ascii="Arial" w:hAnsi="Arial" w:cs="Arial"/>
          <w:b/>
          <w:b/>
          <w:sz w:val="20"/>
          <w:szCs w:val="20"/>
        </w:rPr>
      </w:pPr>
      <w:r>
        <w:rPr>
          <w:rFonts w:cs="Arial" w:ascii="Arial" w:hAnsi="Arial"/>
          <w:b/>
          <w:sz w:val="20"/>
          <w:szCs w:val="20"/>
        </w:rPr>
      </w:r>
    </w:p>
    <w:p>
      <w:pPr>
        <w:pStyle w:val="Nivel1"/>
        <w:numPr>
          <w:ilvl w:val="0"/>
          <w:numId w:val="2"/>
        </w:numPr>
        <w:rPr>
          <w:rFonts w:ascii="Arial" w:hAnsi="Arial"/>
        </w:rPr>
      </w:pPr>
      <w:r>
        <w:rPr>
          <w:rFonts w:ascii="Arial" w:hAnsi="Arial"/>
          <w:sz w:val="20"/>
          <w:szCs w:val="20"/>
        </w:rPr>
        <w:t>DO REPRESENTANTE E DO CREDENCIAMENTO</w:t>
      </w:r>
    </w:p>
    <w:p>
      <w:pPr>
        <w:pStyle w:val="Nivel2"/>
        <w:numPr>
          <w:ilvl w:val="1"/>
          <w:numId w:val="2"/>
        </w:numPr>
        <w:ind w:left="425" w:hanging="0"/>
        <w:rPr>
          <w:rFonts w:ascii="Arial" w:hAnsi="Arial" w:cs="Arial"/>
        </w:rPr>
      </w:pPr>
      <w:r>
        <w:rPr>
          <w:rFonts w:cs="Arial" w:ascii="Arial" w:hAnsi="Arial"/>
          <w:sz w:val="20"/>
          <w:szCs w:val="20"/>
        </w:rPr>
        <w:t>Os licitantes que desejarem manifestar-se durante as fases do procedimento licitatório deverão estar devidamente representados por:</w:t>
      </w:r>
    </w:p>
    <w:p>
      <w:pPr>
        <w:pStyle w:val="Nivel3"/>
        <w:numPr>
          <w:ilvl w:val="2"/>
          <w:numId w:val="2"/>
        </w:numPr>
        <w:ind w:left="1134" w:hanging="0"/>
        <w:rPr>
          <w:rFonts w:ascii="Arial" w:hAnsi="Arial"/>
          <w:sz w:val="20"/>
          <w:szCs w:val="20"/>
        </w:rPr>
      </w:pPr>
      <w:r>
        <w:rPr>
          <w:rFonts w:ascii="Arial" w:hAnsi="Arial"/>
          <w:b/>
          <w:sz w:val="20"/>
          <w:szCs w:val="20"/>
        </w:rPr>
        <w:t>Titular da empresa licitante</w:t>
      </w:r>
      <w:r>
        <w:rPr>
          <w:rFonts w:ascii="Arial" w:hAnsi="Arial"/>
          <w:sz w:val="20"/>
          <w:szCs w:val="20"/>
        </w:rPr>
        <w:t>, devendo apresentar cédula de identidade ou outro documento de identificação oficial, acompanhado de: registro comercial no caso de empresa individual, contrato social ou estatuto em vigor, no caso de sociedades comerciais e, no caso de sociedades por ações, dos documentos de eleição de seus administradores; inscrição do ato constitutivo, no caso de sociedades civis, acompanhada de prova de diretoria em exercício; sendo que em tais documentos devem constar expressos poderes para exercerem direitos e assumir obrigações em decorrência de tal investidura;</w:t>
      </w:r>
    </w:p>
    <w:p>
      <w:pPr>
        <w:pStyle w:val="Nivel3"/>
        <w:numPr>
          <w:ilvl w:val="2"/>
          <w:numId w:val="2"/>
        </w:numPr>
        <w:ind w:left="1134" w:hanging="0"/>
        <w:rPr>
          <w:rFonts w:ascii="Arial" w:hAnsi="Arial"/>
          <w:sz w:val="20"/>
          <w:szCs w:val="20"/>
        </w:rPr>
      </w:pPr>
      <w:r>
        <w:rPr>
          <w:rFonts w:ascii="Arial" w:hAnsi="Arial"/>
          <w:b/>
          <w:sz w:val="20"/>
          <w:szCs w:val="20"/>
        </w:rPr>
        <w:t>Representante designado pela empresa licitante</w:t>
      </w:r>
      <w:r>
        <w:rPr>
          <w:rFonts w:ascii="Arial" w:hAnsi="Arial"/>
          <w:sz w:val="20"/>
          <w:szCs w:val="20"/>
        </w:rPr>
        <w:t>, que deverá apresentar instrumento particular de procuração ou documento equivalente, com poderes para se manifestar em nome da empresa licitante em qualquer fase da licitação, acompanhado de documento de identificação oficial e do registro comercial, no caso de empresa individual; contrato social ou estatuto em vigor no caso de sociedades comerciais e no caso de sociedades por ações, acompanhado, neste último, de documentos de eleição de seus administradores; inscrição do ato constitutivo, no caso de sociedades civis, acompanhada de prova de diretoria em exercício</w:t>
      </w:r>
      <w:r>
        <w:rPr>
          <w:rFonts w:ascii="Arial" w:hAnsi="Arial"/>
          <w:sz w:val="20"/>
          <w:szCs w:val="20"/>
          <w:lang w:eastAsia="en-US"/>
        </w:rPr>
        <w:t>;</w:t>
      </w:r>
    </w:p>
    <w:p>
      <w:pPr>
        <w:pStyle w:val="Nivel2"/>
        <w:numPr>
          <w:ilvl w:val="1"/>
          <w:numId w:val="2"/>
        </w:numPr>
        <w:ind w:left="425" w:hanging="0"/>
        <w:rPr>
          <w:rFonts w:ascii="Arial" w:hAnsi="Arial" w:cs="Arial"/>
        </w:rPr>
      </w:pPr>
      <w:r>
        <w:rPr>
          <w:rFonts w:cs="Arial" w:ascii="Arial" w:hAnsi="Arial"/>
          <w:sz w:val="20"/>
          <w:szCs w:val="20"/>
        </w:rPr>
        <w:t>Cada representante legal/credenciado deverá representar apenas uma empresa licitante.</w:t>
      </w:r>
    </w:p>
    <w:p>
      <w:pPr>
        <w:pStyle w:val="Nivel1"/>
        <w:numPr>
          <w:ilvl w:val="0"/>
          <w:numId w:val="2"/>
        </w:numPr>
        <w:rPr>
          <w:rFonts w:ascii="Arial" w:hAnsi="Arial"/>
          <w:sz w:val="20"/>
          <w:szCs w:val="20"/>
        </w:rPr>
      </w:pPr>
      <w:r>
        <w:rPr>
          <w:rFonts w:ascii="Arial" w:hAnsi="Arial"/>
          <w:sz w:val="20"/>
          <w:szCs w:val="20"/>
        </w:rPr>
        <w:t>OBJETO</w:t>
      </w:r>
    </w:p>
    <w:p>
      <w:pPr>
        <w:pStyle w:val="Nivel2"/>
        <w:numPr>
          <w:ilvl w:val="1"/>
          <w:numId w:val="2"/>
        </w:numPr>
        <w:ind w:left="1140" w:hanging="431"/>
        <w:rPr>
          <w:rFonts w:ascii="Arial" w:hAnsi="Arial"/>
          <w:sz w:val="20"/>
          <w:szCs w:val="20"/>
        </w:rPr>
      </w:pPr>
      <w:r>
        <w:rPr>
          <w:rFonts w:cs="Arial" w:ascii="Arial" w:hAnsi="Arial"/>
          <w:sz w:val="20"/>
          <w:szCs w:val="20"/>
        </w:rPr>
        <w:t xml:space="preserve">O objeto da presente licitação é a escolha da proposta mais vantajosa para a contratação de empresa especializada </w:t>
      </w:r>
      <w:r>
        <w:rPr>
          <w:rFonts w:cs="Arial" w:ascii="Arial" w:hAnsi="Arial"/>
          <w:b w:val="false"/>
          <w:bCs w:val="false"/>
          <w:i w:val="false"/>
          <w:iCs w:val="false"/>
          <w:sz w:val="20"/>
          <w:szCs w:val="20"/>
        </w:rPr>
        <w:t xml:space="preserve">para a prestação de serviços continuados de manutenção preventiva e corretiva, incluindo mão de obra e peças de reposição, nos veículos oficiais, onde se inclui serviços classificados como leves, tais como: mecânica em geral, sistema elétrico/eletrônico, sistema de refrigeração, ar-condicionado, direção hidráulica, serviços de tapeçaria, vidraçaria, estofamento, balanceamento e alinhamento de rodas, cambagem, cáster, troca de óleo e filtros, troca de extintores, alinhamento de direção, lubrificação e instalação de acessórios, substituição e conserto de pneus, e outros serviços considerados necessários para manter em perfeito funcionamento os veículos oficiais pertencentes à frota do </w:t>
      </w:r>
      <w:r>
        <w:rPr>
          <w:rFonts w:cs="Arial" w:ascii="Arial" w:hAnsi="Arial"/>
          <w:b w:val="false"/>
          <w:bCs w:val="false"/>
          <w:i/>
          <w:iCs/>
          <w:sz w:val="20"/>
          <w:szCs w:val="20"/>
        </w:rPr>
        <w:t>campus</w:t>
      </w:r>
      <w:r>
        <w:rPr>
          <w:rFonts w:cs="Arial" w:ascii="Arial" w:hAnsi="Arial"/>
          <w:b w:val="false"/>
          <w:bCs w:val="false"/>
          <w:i w:val="false"/>
          <w:iCs w:val="false"/>
          <w:sz w:val="20"/>
          <w:szCs w:val="20"/>
        </w:rPr>
        <w:t xml:space="preserve"> Camaquã, do Instituto Federal Sul-rio-grandense, a serem prestados no município de Camaquã/RS, pelo período de 12 (doze) meses, admitindo-se a possibilidade de prorrogação, podendo ser prorrogado por iguais e sucessivos períodos, ate o limite máximo de 60 (sessenta) meses,</w:t>
      </w:r>
      <w:r>
        <w:rPr>
          <w:rFonts w:cs="Arial" w:ascii="Arial" w:hAnsi="Arial"/>
          <w:sz w:val="20"/>
          <w:szCs w:val="20"/>
        </w:rPr>
        <w:t xml:space="preserve"> conforme condições, quantidades e exigências estabelecidas neste Edital e seus anexos.</w:t>
      </w:r>
    </w:p>
    <w:p>
      <w:pPr>
        <w:pStyle w:val="Nivel2"/>
        <w:numPr>
          <w:ilvl w:val="0"/>
          <w:numId w:val="0"/>
        </w:numPr>
        <w:ind w:left="1140" w:hanging="431"/>
        <w:rPr>
          <w:rFonts w:ascii="Arial" w:hAnsi="Arial" w:cs="Arial"/>
          <w:sz w:val="20"/>
          <w:szCs w:val="20"/>
        </w:rPr>
      </w:pPr>
      <w:r>
        <w:rPr>
          <w:rFonts w:cs="Arial" w:ascii="Arial" w:hAnsi="Arial"/>
          <w:sz w:val="20"/>
          <w:szCs w:val="20"/>
        </w:rPr>
      </w:r>
    </w:p>
    <w:p>
      <w:pPr>
        <w:pStyle w:val="Nivel2"/>
        <w:widowControl/>
        <w:numPr>
          <w:ilvl w:val="1"/>
          <w:numId w:val="2"/>
        </w:numPr>
        <w:bidi w:val="0"/>
        <w:spacing w:lineRule="auto" w:line="276" w:before="120" w:after="120"/>
        <w:ind w:left="170" w:right="0" w:hanging="0"/>
        <w:jc w:val="both"/>
        <w:rPr>
          <w:rFonts w:ascii="Arial" w:hAnsi="Arial"/>
          <w:sz w:val="20"/>
          <w:szCs w:val="20"/>
        </w:rPr>
      </w:pPr>
      <w:r>
        <w:rPr>
          <w:rFonts w:cs="Arial" w:ascii="Arial" w:hAnsi="Arial"/>
          <w:i w:val="false"/>
          <w:iCs w:val="false"/>
          <w:color w:val="000000"/>
          <w:sz w:val="20"/>
          <w:szCs w:val="20"/>
        </w:rPr>
        <w:t>A licitação será realizada em grupo único, formados por quatro itens, conforme tabela constante no Projeto Básico devendo o licitante oferecer proposta para todos os itens que o compõem.</w:t>
      </w:r>
    </w:p>
    <w:p>
      <w:pPr>
        <w:pStyle w:val="Nivel2"/>
        <w:widowControl/>
        <w:numPr>
          <w:ilvl w:val="1"/>
          <w:numId w:val="2"/>
        </w:numPr>
        <w:bidi w:val="0"/>
        <w:spacing w:lineRule="auto" w:line="276" w:before="120" w:after="120"/>
        <w:ind w:left="170" w:right="0" w:hanging="0"/>
        <w:jc w:val="both"/>
        <w:rPr>
          <w:rFonts w:ascii="Arial" w:hAnsi="Arial"/>
          <w:i w:val="false"/>
          <w:i w:val="false"/>
          <w:iCs w:val="false"/>
          <w:color w:val="000000"/>
          <w:sz w:val="20"/>
          <w:szCs w:val="20"/>
        </w:rPr>
      </w:pPr>
      <w:r>
        <w:rPr>
          <w:rFonts w:cs="Arial" w:ascii="Arial" w:hAnsi="Arial"/>
          <w:i w:val="false"/>
          <w:iCs w:val="false"/>
          <w:color w:val="000000"/>
          <w:sz w:val="20"/>
          <w:szCs w:val="20"/>
        </w:rPr>
        <w:t>O critério de julgamento adotado será o menor preço GLOBAL do grupo, observadas as exigências contidas neste Edital e seus Anexos quanto às especificações do objeto.</w:t>
      </w:r>
    </w:p>
    <w:p>
      <w:pPr>
        <w:pStyle w:val="Nivel1"/>
        <w:widowControl/>
        <w:numPr>
          <w:ilvl w:val="0"/>
          <w:numId w:val="2"/>
        </w:numPr>
        <w:tabs>
          <w:tab w:val="left" w:pos="165" w:leader="none"/>
        </w:tabs>
        <w:bidi w:val="0"/>
        <w:spacing w:lineRule="auto" w:line="276" w:before="120" w:after="120"/>
        <w:ind w:left="0" w:right="0" w:hanging="0"/>
        <w:jc w:val="both"/>
        <w:rPr/>
      </w:pPr>
      <w:r>
        <w:rPr>
          <w:rFonts w:ascii="Arial" w:hAnsi="Arial"/>
          <w:sz w:val="20"/>
          <w:szCs w:val="20"/>
        </w:rPr>
        <w:t>DOS RECURSOS ORÇAMENTÁRIOS</w:t>
      </w:r>
    </w:p>
    <w:p>
      <w:pPr>
        <w:pStyle w:val="Nivel2"/>
        <w:numPr>
          <w:ilvl w:val="1"/>
          <w:numId w:val="2"/>
        </w:numPr>
        <w:tabs>
          <w:tab w:val="left" w:pos="855" w:leader="none"/>
        </w:tabs>
        <w:ind w:left="425" w:hanging="0"/>
        <w:rPr/>
      </w:pPr>
      <w:r>
        <w:rPr>
          <w:rFonts w:cs="Arial" w:ascii="Arial" w:hAnsi="Arial"/>
          <w:sz w:val="20"/>
          <w:szCs w:val="20"/>
        </w:rPr>
        <w:t>As despesas para atender a esta licitação estão programadas em dotação orçamentária própria, prevista no orçamento da União para o exercício d</w:t>
      </w:r>
      <w:r>
        <w:rPr>
          <w:rFonts w:cs="Arial" w:ascii="Arial" w:hAnsi="Arial"/>
          <w:color w:val="000000"/>
          <w:sz w:val="20"/>
          <w:szCs w:val="20"/>
        </w:rPr>
        <w:t xml:space="preserve">e 2019 </w:t>
      </w:r>
      <w:r>
        <w:rPr>
          <w:rFonts w:cs="Arial" w:ascii="Arial" w:hAnsi="Arial"/>
          <w:sz w:val="20"/>
          <w:szCs w:val="20"/>
        </w:rPr>
        <w:t>na classificação abaixo:</w:t>
      </w:r>
    </w:p>
    <w:p>
      <w:pPr>
        <w:pStyle w:val="Nivel3"/>
        <w:numPr>
          <w:ilvl w:val="2"/>
          <w:numId w:val="2"/>
        </w:numPr>
        <w:ind w:left="1134" w:hanging="0"/>
        <w:rPr>
          <w:rFonts w:ascii="Arial" w:hAnsi="Arial"/>
          <w:sz w:val="20"/>
          <w:szCs w:val="20"/>
        </w:rPr>
      </w:pPr>
      <w:r>
        <w:rPr>
          <w:rFonts w:ascii="Arial" w:hAnsi="Arial"/>
          <w:sz w:val="20"/>
          <w:szCs w:val="20"/>
          <w:lang w:eastAsia="en-US"/>
        </w:rPr>
        <w:t>Gestão/Unidade: 26436/151878</w:t>
      </w:r>
    </w:p>
    <w:p>
      <w:pPr>
        <w:pStyle w:val="Nivel3"/>
        <w:numPr>
          <w:ilvl w:val="2"/>
          <w:numId w:val="2"/>
        </w:numPr>
        <w:ind w:left="1134" w:hanging="0"/>
        <w:rPr>
          <w:rFonts w:ascii="Arial" w:hAnsi="Arial"/>
          <w:sz w:val="20"/>
          <w:szCs w:val="20"/>
        </w:rPr>
      </w:pPr>
      <w:r>
        <w:rPr>
          <w:rFonts w:ascii="Arial" w:hAnsi="Arial"/>
          <w:sz w:val="20"/>
          <w:szCs w:val="20"/>
          <w:lang w:eastAsia="en-US"/>
        </w:rPr>
        <w:t>Fonte: 8100</w:t>
      </w:r>
    </w:p>
    <w:p>
      <w:pPr>
        <w:pStyle w:val="Nivel3"/>
        <w:numPr>
          <w:ilvl w:val="2"/>
          <w:numId w:val="2"/>
        </w:numPr>
        <w:ind w:left="1134" w:hanging="0"/>
        <w:rPr>
          <w:rFonts w:ascii="Arial" w:hAnsi="Arial"/>
          <w:sz w:val="20"/>
          <w:szCs w:val="20"/>
          <w:lang w:eastAsia="en-US"/>
        </w:rPr>
      </w:pPr>
      <w:r>
        <w:rPr>
          <w:rFonts w:ascii="Arial" w:hAnsi="Arial"/>
          <w:sz w:val="20"/>
          <w:szCs w:val="20"/>
          <w:lang w:eastAsia="en-US"/>
        </w:rPr>
        <w:t>Programa de Trabalho: 12.363.2080.20RL.0043</w:t>
      </w:r>
    </w:p>
    <w:p>
      <w:pPr>
        <w:pStyle w:val="Nivel3"/>
        <w:numPr>
          <w:ilvl w:val="2"/>
          <w:numId w:val="2"/>
        </w:numPr>
        <w:ind w:left="1134" w:hanging="0"/>
        <w:rPr/>
      </w:pPr>
      <w:r>
        <w:rPr>
          <w:rFonts w:ascii="Arial" w:hAnsi="Arial"/>
          <w:sz w:val="20"/>
          <w:szCs w:val="20"/>
          <w:lang w:eastAsia="en-US"/>
        </w:rPr>
        <w:t>Elemento de Despesa: 339039</w:t>
      </w:r>
    </w:p>
    <w:p>
      <w:pPr>
        <w:pStyle w:val="Nivel3"/>
        <w:numPr>
          <w:ilvl w:val="2"/>
          <w:numId w:val="2"/>
        </w:numPr>
        <w:ind w:left="1134" w:hanging="0"/>
        <w:rPr>
          <w:rFonts w:ascii="Arial" w:hAnsi="Arial"/>
          <w:sz w:val="20"/>
          <w:szCs w:val="20"/>
          <w:lang w:eastAsia="en-US"/>
        </w:rPr>
      </w:pPr>
      <w:r>
        <w:rPr>
          <w:rFonts w:ascii="Arial" w:hAnsi="Arial"/>
          <w:sz w:val="20"/>
          <w:szCs w:val="20"/>
          <w:lang w:eastAsia="en-US"/>
        </w:rPr>
        <w:t>PI: L20RLP0108R</w:t>
      </w:r>
    </w:p>
    <w:p>
      <w:pPr>
        <w:pStyle w:val="Normal"/>
        <w:spacing w:lineRule="auto" w:line="276" w:before="120" w:after="120"/>
        <w:rPr>
          <w:rFonts w:ascii="Arial" w:hAnsi="Arial" w:cs="Arial"/>
          <w:color w:val="000000"/>
          <w:sz w:val="20"/>
          <w:szCs w:val="20"/>
          <w:lang w:eastAsia="en-US"/>
        </w:rPr>
      </w:pPr>
      <w:r>
        <w:rPr>
          <w:rFonts w:cs="Arial" w:ascii="Arial" w:hAnsi="Arial"/>
          <w:color w:val="000000"/>
          <w:sz w:val="20"/>
          <w:szCs w:val="20"/>
          <w:lang w:eastAsia="en-US"/>
        </w:rPr>
      </w:r>
    </w:p>
    <w:p>
      <w:pPr>
        <w:pStyle w:val="Nivel1"/>
        <w:widowControl/>
        <w:numPr>
          <w:ilvl w:val="0"/>
          <w:numId w:val="2"/>
        </w:numPr>
        <w:bidi w:val="0"/>
        <w:spacing w:lineRule="auto" w:line="276" w:before="120" w:after="120"/>
        <w:ind w:left="0" w:right="0" w:hanging="0"/>
        <w:jc w:val="both"/>
        <w:rPr/>
      </w:pPr>
      <w:r>
        <w:rPr>
          <w:rFonts w:ascii="Arial" w:hAnsi="Arial"/>
          <w:sz w:val="20"/>
          <w:szCs w:val="20"/>
          <w:lang w:eastAsia="en-US"/>
        </w:rPr>
        <w:t>DA PARTICIPAÇÃO NA LICITAÇÃO</w:t>
      </w:r>
    </w:p>
    <w:p>
      <w:pPr>
        <w:pStyle w:val="Nivel2"/>
        <w:numPr>
          <w:ilvl w:val="1"/>
          <w:numId w:val="2"/>
        </w:numPr>
        <w:tabs>
          <w:tab w:val="left" w:pos="900" w:leader="none"/>
        </w:tabs>
        <w:ind w:left="425" w:hanging="0"/>
        <w:rPr/>
      </w:pPr>
      <w:r>
        <w:rPr>
          <w:rFonts w:cs="Arial" w:ascii="Arial" w:hAnsi="Arial"/>
          <w:sz w:val="20"/>
          <w:szCs w:val="20"/>
          <w:lang w:eastAsia="en-US"/>
        </w:rPr>
        <w:t>Serão convidadas a participar d</w:t>
      </w:r>
      <w:r>
        <w:rPr>
          <w:rFonts w:cs="Arial" w:ascii="Arial" w:hAnsi="Arial"/>
          <w:bCs/>
          <w:sz w:val="20"/>
          <w:szCs w:val="20"/>
        </w:rPr>
        <w:t xml:space="preserve">esta licitação os interessados cujo ramo de atividade seja compatível com o objeto desta licitação, regularmente cadastrados ou não no </w:t>
      </w:r>
      <w:r>
        <w:rPr>
          <w:rFonts w:cs="Arial" w:ascii="Arial" w:hAnsi="Arial"/>
          <w:sz w:val="20"/>
          <w:szCs w:val="20"/>
        </w:rPr>
        <w:t>Sistema de Cadastramento Unificado de Fornecedores – SICAF</w:t>
      </w:r>
      <w:r>
        <w:rPr>
          <w:rFonts w:cs="Arial" w:ascii="Arial" w:hAnsi="Arial"/>
          <w:bCs/>
          <w:sz w:val="20"/>
          <w:szCs w:val="20"/>
        </w:rPr>
        <w:t>, possibilitando-se que outros cadastrados</w:t>
      </w:r>
      <w:r>
        <w:rPr>
          <w:rFonts w:cs="Arial" w:ascii="Arial" w:hAnsi="Arial"/>
          <w:sz w:val="20"/>
          <w:szCs w:val="20"/>
        </w:rPr>
        <w:t xml:space="preserve"> participem da licitação, desde que manifestem seu interesse com antecedência de até 24 (vinte e quatro) horas da apresentação das propostas.</w:t>
      </w:r>
    </w:p>
    <w:p>
      <w:pPr>
        <w:pStyle w:val="Nivel2"/>
        <w:numPr>
          <w:ilvl w:val="1"/>
          <w:numId w:val="2"/>
        </w:numPr>
        <w:tabs>
          <w:tab w:val="left" w:pos="900" w:leader="none"/>
        </w:tabs>
        <w:ind w:left="425" w:hanging="0"/>
        <w:rPr/>
      </w:pPr>
      <w:r>
        <w:rPr>
          <w:rFonts w:cs="Arial" w:ascii="Arial" w:hAnsi="Arial"/>
          <w:sz w:val="20"/>
          <w:szCs w:val="20"/>
        </w:rPr>
        <w:t>Não poderão participar desta licitação:</w:t>
      </w:r>
    </w:p>
    <w:p>
      <w:pPr>
        <w:pStyle w:val="Nivel3"/>
        <w:numPr>
          <w:ilvl w:val="2"/>
          <w:numId w:val="2"/>
        </w:numPr>
        <w:ind w:left="1134" w:hanging="0"/>
        <w:rPr>
          <w:rStyle w:val="Manoel"/>
          <w:rFonts w:eastAsia="Zurich BT"/>
          <w:bCs/>
        </w:rPr>
      </w:pPr>
      <w:r>
        <w:rPr>
          <w:rFonts w:ascii="Arial" w:hAnsi="Arial"/>
          <w:bCs/>
          <w:sz w:val="20"/>
          <w:szCs w:val="20"/>
        </w:rPr>
        <w:t>proibidos de participar de licitações e celebrar contratos administrativos, na forma da legislação vigente</w:t>
      </w:r>
      <w:r>
        <w:rPr>
          <w:rStyle w:val="Manoel"/>
          <w:rFonts w:ascii="Arial" w:hAnsi="Arial"/>
          <w:sz w:val="20"/>
          <w:szCs w:val="20"/>
        </w:rPr>
        <w:t>;</w:t>
      </w:r>
    </w:p>
    <w:p>
      <w:pPr>
        <w:pStyle w:val="Nivel3"/>
        <w:numPr>
          <w:ilvl w:val="2"/>
          <w:numId w:val="2"/>
        </w:numPr>
        <w:ind w:left="1134" w:hanging="0"/>
        <w:rPr>
          <w:rFonts w:ascii="Arial" w:hAnsi="Arial" w:eastAsia="Zurich BT"/>
          <w:bCs/>
        </w:rPr>
      </w:pPr>
      <w:r>
        <w:rPr>
          <w:rFonts w:eastAsia="Zurich BT" w:ascii="Arial" w:hAnsi="Arial"/>
          <w:bCs/>
          <w:sz w:val="20"/>
          <w:szCs w:val="20"/>
        </w:rPr>
        <w:t>que não atendam às condições deste Edital e seus anexos;</w:t>
      </w:r>
    </w:p>
    <w:p>
      <w:pPr>
        <w:pStyle w:val="Nivel3"/>
        <w:numPr>
          <w:ilvl w:val="2"/>
          <w:numId w:val="2"/>
        </w:numPr>
        <w:ind w:left="1134" w:hanging="0"/>
        <w:rPr>
          <w:rFonts w:ascii="Arial" w:hAnsi="Arial" w:eastAsia="Zurich BT"/>
          <w:bCs/>
        </w:rPr>
      </w:pPr>
      <w:r>
        <w:rPr>
          <w:rFonts w:ascii="Arial" w:hAnsi="Arial"/>
          <w:bCs/>
          <w:sz w:val="20"/>
          <w:szCs w:val="20"/>
        </w:rPr>
        <w:t xml:space="preserve">estrangeiros que não tenham representação legal no Brasil com poderes expressos para receber citação e responder administrativa ou judicialmente; </w:t>
      </w:r>
    </w:p>
    <w:p>
      <w:pPr>
        <w:pStyle w:val="Nivel3"/>
        <w:numPr>
          <w:ilvl w:val="2"/>
          <w:numId w:val="2"/>
        </w:numPr>
        <w:ind w:left="1134" w:hanging="0"/>
        <w:rPr>
          <w:rFonts w:ascii="Arial" w:hAnsi="Arial"/>
        </w:rPr>
      </w:pPr>
      <w:r>
        <w:rPr>
          <w:rFonts w:ascii="Arial" w:hAnsi="Arial"/>
          <w:color w:val="000000" w:themeColor="text1"/>
          <w:sz w:val="20"/>
          <w:szCs w:val="20"/>
        </w:rPr>
        <w:t>que se enquadrem nas vedações previstas no artigo 9º da Lei nº 8.666, de 1993;</w:t>
      </w:r>
    </w:p>
    <w:p>
      <w:pPr>
        <w:pStyle w:val="Nivel3"/>
        <w:numPr>
          <w:ilvl w:val="2"/>
          <w:numId w:val="2"/>
        </w:numPr>
        <w:ind w:left="1134" w:hanging="0"/>
        <w:rPr>
          <w:rFonts w:ascii="Arial" w:hAnsi="Arial"/>
        </w:rPr>
      </w:pPr>
      <w:r>
        <w:rPr>
          <w:rFonts w:ascii="Arial" w:hAnsi="Arial"/>
          <w:sz w:val="20"/>
          <w:szCs w:val="20"/>
        </w:rPr>
        <w:t>que estejam sob falência, concurso de credores, concordata ou insolvência, em processo de dissolução ou liquidação;</w:t>
      </w:r>
    </w:p>
    <w:p>
      <w:pPr>
        <w:pStyle w:val="Nivel3"/>
        <w:numPr>
          <w:ilvl w:val="2"/>
          <w:numId w:val="2"/>
        </w:numPr>
        <w:ind w:left="1134" w:hanging="0"/>
        <w:rPr>
          <w:rFonts w:ascii="Arial" w:hAnsi="Arial" w:eastAsia="Zurich BT"/>
          <w:bCs/>
        </w:rPr>
      </w:pPr>
      <w:r>
        <w:rPr>
          <w:rFonts w:ascii="Arial" w:hAnsi="Arial"/>
          <w:i w:val="false"/>
          <w:iCs w:val="false"/>
          <w:color w:val="000000"/>
          <w:sz w:val="20"/>
          <w:szCs w:val="20"/>
        </w:rPr>
        <w:t>entidades empresariais que estejam reunidas em consórcio;</w:t>
      </w:r>
    </w:p>
    <w:p>
      <w:pPr>
        <w:pStyle w:val="Nivel3"/>
        <w:numPr>
          <w:ilvl w:val="2"/>
          <w:numId w:val="2"/>
        </w:numPr>
        <w:ind w:left="1134" w:hanging="0"/>
        <w:rPr>
          <w:rFonts w:ascii="Arial" w:hAnsi="Arial"/>
          <w:sz w:val="20"/>
          <w:szCs w:val="20"/>
        </w:rPr>
      </w:pPr>
      <w:r>
        <w:rPr>
          <w:rFonts w:eastAsia="Zurich BT" w:ascii="Arial" w:hAnsi="Arial"/>
          <w:bCs/>
          <w:sz w:val="20"/>
          <w:szCs w:val="20"/>
        </w:rPr>
        <w:t xml:space="preserve">organizações da Sociedade Civil de Interesse Público - OSCIP, atuando nessa condição (Acórdão nº 746/2014-TCU-Plenário);  </w:t>
      </w:r>
    </w:p>
    <w:p>
      <w:pPr>
        <w:pStyle w:val="Nivel3"/>
        <w:numPr>
          <w:ilvl w:val="2"/>
          <w:numId w:val="2"/>
        </w:numPr>
        <w:ind w:left="1134" w:hanging="0"/>
        <w:rPr>
          <w:rFonts w:ascii="Arial" w:hAnsi="Arial" w:eastAsia="Zurich BT"/>
          <w:bCs/>
        </w:rPr>
      </w:pPr>
      <w:r>
        <w:rPr>
          <w:rFonts w:eastAsia="Zurich BT" w:ascii="Arial" w:hAnsi="Arial"/>
          <w:bCs/>
          <w:sz w:val="20"/>
          <w:szCs w:val="20"/>
        </w:rPr>
        <w:t>instituições sem fins lucrativos (parágrafo único do art. 12 da Instrução Normativa/SEGES nº 05/2017).</w:t>
      </w:r>
    </w:p>
    <w:p>
      <w:pPr>
        <w:pStyle w:val="Nivel4"/>
        <w:numPr>
          <w:ilvl w:val="3"/>
          <w:numId w:val="2"/>
        </w:numPr>
        <w:ind w:left="1701" w:hanging="0"/>
        <w:rPr>
          <w:rFonts w:ascii="Arial" w:hAnsi="Arial"/>
          <w:i w:val="false"/>
          <w:i w:val="false"/>
          <w:iCs w:val="false"/>
          <w:color w:val="000000"/>
          <w:sz w:val="20"/>
          <w:szCs w:val="20"/>
        </w:rPr>
      </w:pPr>
      <w:r>
        <w:rPr>
          <w:rFonts w:eastAsia="Zurich BT" w:ascii="Arial" w:hAnsi="Arial"/>
          <w:bCs/>
          <w:i w:val="false"/>
          <w:iCs w:val="false"/>
          <w:color w:val="000000"/>
          <w:sz w:val="20"/>
          <w:szCs w:val="20"/>
        </w:rPr>
        <w:t>É admissível a participação de organizações sociais, qualificadas na forma dos arts. 5º a 7º da Lei 9.637/1998, desde que os serviços objeto desta licitação se insiram entre as atividades previstas no contrato de gestão firmado entre o Poder Público e a organização social (Acórdão nº 1.406/2017- TCU-Plenário), mediante apresentação do Contrato de Gestão e dos respectivos atos constitutivos.</w:t>
      </w:r>
    </w:p>
    <w:p>
      <w:pPr>
        <w:pStyle w:val="ListParagraph"/>
        <w:numPr>
          <w:ilvl w:val="2"/>
          <w:numId w:val="5"/>
        </w:numPr>
        <w:spacing w:lineRule="auto" w:line="276" w:before="120" w:after="120"/>
        <w:ind w:left="1134" w:hanging="0"/>
        <w:contextualSpacing/>
        <w:rPr>
          <w:rFonts w:ascii="Arial" w:hAnsi="Arial" w:eastAsia="Zurich BT" w:cs="Arial"/>
          <w:bCs/>
          <w:color w:val="000000"/>
          <w:sz w:val="20"/>
        </w:rPr>
      </w:pPr>
      <w:r>
        <w:rPr>
          <w:rFonts w:eastAsia="Zurich BT" w:cs="Arial" w:ascii="Arial" w:hAnsi="Arial"/>
          <w:bCs/>
          <w:i w:val="false"/>
          <w:iCs w:val="false"/>
          <w:color w:val="000000"/>
          <w:sz w:val="20"/>
          <w:szCs w:val="20"/>
        </w:rPr>
        <w:t>sociedades cooperativas, considerando a vedação contida no art. 10 da Instrução Normativa SEGES/MP nº 5, de 2017.</w:t>
      </w:r>
    </w:p>
    <w:p>
      <w:pPr>
        <w:pStyle w:val="Nivel2"/>
        <w:numPr>
          <w:ilvl w:val="1"/>
          <w:numId w:val="2"/>
        </w:numPr>
        <w:tabs>
          <w:tab w:val="left" w:pos="855" w:leader="none"/>
        </w:tabs>
        <w:ind w:left="425" w:hanging="0"/>
        <w:rPr/>
      </w:pPr>
      <w:r>
        <w:rPr>
          <w:rFonts w:cs="Arial" w:ascii="Arial" w:hAnsi="Arial"/>
          <w:color w:val="000000"/>
          <w:sz w:val="20"/>
          <w:szCs w:val="20"/>
        </w:rPr>
        <w:t>Nos</w:t>
      </w:r>
      <w:r>
        <w:rPr>
          <w:rFonts w:cs="Arial" w:ascii="Arial" w:hAnsi="Arial"/>
          <w:color w:val="000000"/>
          <w:sz w:val="20"/>
          <w:szCs w:val="20"/>
          <w:shd w:fill="FFFFFF" w:val="clear"/>
        </w:rPr>
        <w:t xml:space="preserve"> termos do art. 5º do Decreto nº 9.507, de 2018, é vedada a contratação de </w:t>
      </w:r>
      <w:r>
        <w:rPr>
          <w:rFonts w:cs="Arial" w:ascii="Arial" w:hAnsi="Arial"/>
          <w:sz w:val="20"/>
          <w:szCs w:val="20"/>
        </w:rPr>
        <w:t>pessoa</w:t>
      </w:r>
      <w:r>
        <w:rPr>
          <w:rFonts w:cs="Arial" w:ascii="Arial" w:hAnsi="Arial"/>
          <w:sz w:val="20"/>
          <w:szCs w:val="20"/>
          <w:shd w:fill="FFFFFF" w:val="clear"/>
        </w:rPr>
        <w:t xml:space="preserve"> jurídica na qual haja administrador ou sócio com poder de direção, familiar de:</w:t>
      </w:r>
    </w:p>
    <w:p>
      <w:pPr>
        <w:pStyle w:val="Xwestern"/>
        <w:numPr>
          <w:ilvl w:val="0"/>
          <w:numId w:val="6"/>
        </w:numPr>
        <w:shd w:val="clear" w:color="auto" w:fill="FFFFFF" w:themeFill="background1"/>
        <w:spacing w:lineRule="auto" w:line="276" w:beforeAutospacing="0" w:before="119" w:afterAutospacing="0" w:after="119"/>
        <w:ind w:left="993" w:hanging="284"/>
        <w:jc w:val="both"/>
        <w:rPr>
          <w:rFonts w:ascii="Arial" w:hAnsi="Arial" w:cs="Arial"/>
          <w:sz w:val="20"/>
          <w:szCs w:val="20"/>
        </w:rPr>
      </w:pPr>
      <w:r>
        <w:rPr>
          <w:rFonts w:cs="Arial" w:ascii="Arial" w:hAnsi="Arial"/>
          <w:sz w:val="20"/>
          <w:szCs w:val="20"/>
          <w:shd w:fill="FFFFFF" w:val="clear"/>
        </w:rPr>
        <w:t>detentor de cargo em comissão ou função de confiança que atue na área responsável pela demanda ou contratação; ou</w:t>
      </w:r>
    </w:p>
    <w:p>
      <w:pPr>
        <w:pStyle w:val="Xwestern"/>
        <w:numPr>
          <w:ilvl w:val="0"/>
          <w:numId w:val="6"/>
        </w:numPr>
        <w:shd w:val="clear" w:color="auto" w:fill="FFFFFF" w:themeFill="background1"/>
        <w:spacing w:lineRule="auto" w:line="276" w:beforeAutospacing="0" w:before="119" w:afterAutospacing="0" w:after="119"/>
        <w:ind w:left="993" w:hanging="284"/>
        <w:jc w:val="both"/>
        <w:rPr>
          <w:rFonts w:ascii="Arial" w:hAnsi="Arial" w:cs="Arial"/>
          <w:sz w:val="20"/>
          <w:szCs w:val="20"/>
        </w:rPr>
      </w:pPr>
      <w:r>
        <w:rPr>
          <w:rFonts w:cs="Arial" w:ascii="Arial" w:hAnsi="Arial"/>
          <w:sz w:val="20"/>
          <w:szCs w:val="20"/>
          <w:shd w:fill="FFFFFF" w:val="clear"/>
        </w:rPr>
        <w:t>de autoridade hierarquicamente superior no âmbito do órgão contratante.</w:t>
      </w:r>
    </w:p>
    <w:p>
      <w:pPr>
        <w:pStyle w:val="ListParagraph"/>
        <w:widowControl/>
        <w:numPr>
          <w:ilvl w:val="0"/>
          <w:numId w:val="7"/>
        </w:numPr>
        <w:shd w:val="clear" w:color="auto" w:fill="FFFFFF" w:themeFill="background1"/>
        <w:suppressAutoHyphens w:val="false"/>
        <w:spacing w:lineRule="auto" w:line="276" w:before="119" w:after="119"/>
        <w:contextualSpacing/>
        <w:jc w:val="both"/>
        <w:rPr>
          <w:rFonts w:ascii="Arial" w:hAnsi="Arial" w:eastAsia="Times New Roman" w:cs="Arial"/>
          <w:vanish/>
          <w:sz w:val="20"/>
          <w:szCs w:val="20"/>
          <w:shd w:fill="FFFFFF" w:val="clear"/>
        </w:rPr>
      </w:pPr>
      <w:r>
        <w:rPr>
          <w:rFonts w:eastAsia="Times New Roman" w:cs="Arial" w:ascii="Arial" w:hAnsi="Arial"/>
          <w:vanish/>
          <w:sz w:val="20"/>
          <w:szCs w:val="20"/>
          <w:shd w:fill="FFFFFF" w:val="clear"/>
        </w:rPr>
      </w:r>
    </w:p>
    <w:p>
      <w:pPr>
        <w:pStyle w:val="ListParagraph"/>
        <w:widowControl/>
        <w:numPr>
          <w:ilvl w:val="0"/>
          <w:numId w:val="7"/>
        </w:numPr>
        <w:shd w:val="clear" w:color="auto" w:fill="FFFFFF" w:themeFill="background1"/>
        <w:suppressAutoHyphens w:val="false"/>
        <w:spacing w:lineRule="auto" w:line="276" w:before="119" w:after="119"/>
        <w:contextualSpacing/>
        <w:jc w:val="both"/>
        <w:rPr>
          <w:rFonts w:ascii="Arial" w:hAnsi="Arial" w:eastAsia="Times New Roman" w:cs="Arial"/>
          <w:vanish/>
          <w:sz w:val="20"/>
          <w:szCs w:val="20"/>
          <w:shd w:fill="FFFFFF" w:val="clear"/>
        </w:rPr>
      </w:pPr>
      <w:r>
        <w:rPr>
          <w:rFonts w:eastAsia="Times New Roman" w:cs="Arial" w:ascii="Arial" w:hAnsi="Arial"/>
          <w:vanish/>
          <w:sz w:val="20"/>
          <w:szCs w:val="20"/>
          <w:shd w:fill="FFFFFF" w:val="clear"/>
        </w:rPr>
      </w:r>
    </w:p>
    <w:p>
      <w:pPr>
        <w:pStyle w:val="ListParagraph"/>
        <w:widowControl/>
        <w:numPr>
          <w:ilvl w:val="0"/>
          <w:numId w:val="7"/>
        </w:numPr>
        <w:shd w:val="clear" w:color="auto" w:fill="FFFFFF" w:themeFill="background1"/>
        <w:suppressAutoHyphens w:val="false"/>
        <w:spacing w:lineRule="auto" w:line="276" w:before="119" w:after="119"/>
        <w:contextualSpacing/>
        <w:jc w:val="both"/>
        <w:rPr>
          <w:rFonts w:ascii="Arial" w:hAnsi="Arial" w:eastAsia="Times New Roman" w:cs="Arial"/>
          <w:vanish/>
          <w:sz w:val="20"/>
          <w:szCs w:val="20"/>
          <w:shd w:fill="FFFFFF" w:val="clear"/>
        </w:rPr>
      </w:pPr>
      <w:r>
        <w:rPr>
          <w:rFonts w:eastAsia="Times New Roman" w:cs="Arial" w:ascii="Arial" w:hAnsi="Arial"/>
          <w:vanish/>
          <w:sz w:val="20"/>
          <w:szCs w:val="20"/>
          <w:shd w:fill="FFFFFF" w:val="clear"/>
        </w:rPr>
      </w:r>
    </w:p>
    <w:p>
      <w:pPr>
        <w:pStyle w:val="ListParagraph"/>
        <w:widowControl/>
        <w:numPr>
          <w:ilvl w:val="1"/>
          <w:numId w:val="7"/>
        </w:numPr>
        <w:shd w:val="clear" w:color="auto" w:fill="FFFFFF" w:themeFill="background1"/>
        <w:suppressAutoHyphens w:val="false"/>
        <w:spacing w:lineRule="auto" w:line="276" w:before="119" w:after="119"/>
        <w:contextualSpacing/>
        <w:jc w:val="both"/>
        <w:rPr>
          <w:rFonts w:ascii="Arial" w:hAnsi="Arial" w:eastAsia="Times New Roman" w:cs="Arial"/>
          <w:vanish/>
          <w:sz w:val="20"/>
          <w:szCs w:val="20"/>
          <w:shd w:fill="FFFFFF" w:val="clear"/>
        </w:rPr>
      </w:pPr>
      <w:r>
        <w:rPr>
          <w:rFonts w:eastAsia="Times New Roman" w:cs="Arial" w:ascii="Arial" w:hAnsi="Arial"/>
          <w:vanish/>
          <w:sz w:val="20"/>
          <w:szCs w:val="20"/>
          <w:shd w:fill="FFFFFF" w:val="clear"/>
        </w:rPr>
      </w:r>
    </w:p>
    <w:p>
      <w:pPr>
        <w:pStyle w:val="Nivel3"/>
        <w:numPr>
          <w:ilvl w:val="2"/>
          <w:numId w:val="2"/>
        </w:numPr>
        <w:ind w:left="1134" w:hanging="0"/>
        <w:rPr>
          <w:rFonts w:ascii="Arial" w:hAnsi="Arial"/>
          <w:color w:val="003366"/>
        </w:rPr>
      </w:pPr>
      <w:r>
        <w:rPr>
          <w:rFonts w:ascii="Arial" w:hAnsi="Arial"/>
          <w:sz w:val="20"/>
          <w:szCs w:val="20"/>
          <w:shd w:fill="FFFFFF" w:val="clear"/>
        </w:rPr>
        <w:t>Para os fins do disposto neste item</w:t>
      </w:r>
      <w:r>
        <w:rPr>
          <w:rFonts w:ascii="Arial" w:hAnsi="Arial"/>
          <w:i/>
          <w:iCs/>
          <w:sz w:val="20"/>
          <w:szCs w:val="20"/>
          <w:shd w:fill="FFFFFF" w:val="clear"/>
        </w:rPr>
        <w:t>,</w:t>
      </w:r>
      <w:r>
        <w:rPr>
          <w:rFonts w:ascii="Arial" w:hAnsi="Arial"/>
          <w:sz w:val="20"/>
          <w:szCs w:val="20"/>
          <w:shd w:fill="FFFFFF" w:val="clear"/>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pPr>
        <w:pStyle w:val="ListParagraph"/>
        <w:keepNext/>
        <w:keepLines/>
        <w:widowControl/>
        <w:numPr>
          <w:ilvl w:val="0"/>
          <w:numId w:val="4"/>
        </w:numPr>
        <w:tabs>
          <w:tab w:val="left" w:pos="420" w:leader="none"/>
          <w:tab w:val="left" w:pos="567" w:leader="none"/>
        </w:tabs>
        <w:suppressAutoHyphens w:val="false"/>
        <w:spacing w:before="240" w:after="0"/>
        <w:ind w:left="0" w:hanging="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keepNext/>
        <w:keepLines/>
        <w:widowControl/>
        <w:numPr>
          <w:ilvl w:val="0"/>
          <w:numId w:val="4"/>
        </w:numPr>
        <w:tabs>
          <w:tab w:val="left" w:pos="420" w:leader="none"/>
          <w:tab w:val="left" w:pos="567" w:leader="none"/>
        </w:tabs>
        <w:suppressAutoHyphens w:val="false"/>
        <w:spacing w:before="240" w:after="0"/>
        <w:ind w:left="0" w:hanging="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keepNext/>
        <w:keepLines/>
        <w:widowControl/>
        <w:numPr>
          <w:ilvl w:val="0"/>
          <w:numId w:val="4"/>
        </w:numPr>
        <w:tabs>
          <w:tab w:val="left" w:pos="420" w:leader="none"/>
          <w:tab w:val="left" w:pos="567" w:leader="none"/>
        </w:tabs>
        <w:suppressAutoHyphens w:val="false"/>
        <w:spacing w:before="240" w:after="0"/>
        <w:ind w:left="0" w:hanging="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keepNext/>
        <w:keepLines/>
        <w:widowControl/>
        <w:numPr>
          <w:ilvl w:val="0"/>
          <w:numId w:val="4"/>
        </w:numPr>
        <w:tabs>
          <w:tab w:val="left" w:pos="420" w:leader="none"/>
          <w:tab w:val="left" w:pos="567" w:leader="none"/>
        </w:tabs>
        <w:suppressAutoHyphens w:val="false"/>
        <w:spacing w:before="240" w:after="0"/>
        <w:ind w:left="0" w:hanging="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keepNext/>
        <w:keepLines/>
        <w:widowControl/>
        <w:numPr>
          <w:ilvl w:val="0"/>
          <w:numId w:val="4"/>
        </w:numPr>
        <w:tabs>
          <w:tab w:val="left" w:pos="420" w:leader="none"/>
          <w:tab w:val="left" w:pos="567" w:leader="none"/>
        </w:tabs>
        <w:suppressAutoHyphens w:val="false"/>
        <w:spacing w:before="240" w:after="0"/>
        <w:ind w:left="0" w:hanging="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keepNext/>
        <w:keepLines/>
        <w:widowControl/>
        <w:numPr>
          <w:ilvl w:val="0"/>
          <w:numId w:val="4"/>
        </w:numPr>
        <w:tabs>
          <w:tab w:val="left" w:pos="420" w:leader="none"/>
          <w:tab w:val="left" w:pos="567" w:leader="none"/>
        </w:tabs>
        <w:suppressAutoHyphens w:val="false"/>
        <w:spacing w:before="240" w:after="0"/>
        <w:ind w:left="0" w:hanging="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keepNext/>
        <w:keepLines/>
        <w:widowControl/>
        <w:numPr>
          <w:ilvl w:val="1"/>
          <w:numId w:val="4"/>
        </w:numPr>
        <w:tabs>
          <w:tab w:val="left" w:pos="567" w:leader="none"/>
        </w:tabs>
        <w:suppressAutoHyphens w:val="false"/>
        <w:spacing w:before="240" w:after="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keepNext/>
        <w:keepLines/>
        <w:widowControl/>
        <w:numPr>
          <w:ilvl w:val="1"/>
          <w:numId w:val="4"/>
        </w:numPr>
        <w:tabs>
          <w:tab w:val="left" w:pos="567" w:leader="none"/>
        </w:tabs>
        <w:suppressAutoHyphens w:val="false"/>
        <w:spacing w:before="240" w:after="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keepNext/>
        <w:keepLines/>
        <w:widowControl/>
        <w:numPr>
          <w:ilvl w:val="1"/>
          <w:numId w:val="4"/>
        </w:numPr>
        <w:tabs>
          <w:tab w:val="left" w:pos="567" w:leader="none"/>
        </w:tabs>
        <w:suppressAutoHyphens w:val="false"/>
        <w:spacing w:before="240" w:after="0"/>
        <w:contextualSpacing/>
        <w:jc w:val="both"/>
        <w:outlineLvl w:val="0"/>
        <w:rPr>
          <w:rFonts w:ascii="Arial" w:hAnsi="Arial" w:eastAsia="" w:cs="Arial" w:eastAsiaTheme="majorEastAsia"/>
          <w:b/>
          <w:b/>
          <w:bCs/>
          <w:vanish/>
          <w:color w:val="000000"/>
          <w:sz w:val="20"/>
          <w:szCs w:val="20"/>
          <w:shd w:fill="FFFFFF" w:val="clear"/>
        </w:rPr>
      </w:pPr>
      <w:r>
        <w:rPr>
          <w:rFonts w:eastAsia="" w:cs="Arial" w:eastAsiaTheme="majorEastAsia" w:ascii="Arial" w:hAnsi="Arial"/>
          <w:b/>
          <w:bCs/>
          <w:vanish/>
          <w:color w:val="000000"/>
          <w:sz w:val="20"/>
          <w:szCs w:val="20"/>
          <w:shd w:fill="FFFFFF" w:val="clear"/>
        </w:rPr>
      </w:r>
    </w:p>
    <w:p>
      <w:pPr>
        <w:pStyle w:val="ListParagraph"/>
        <w:numPr>
          <w:ilvl w:val="1"/>
          <w:numId w:val="4"/>
        </w:numPr>
        <w:tabs>
          <w:tab w:val="left" w:pos="855" w:leader="none"/>
        </w:tabs>
        <w:spacing w:lineRule="auto" w:line="276" w:before="120" w:after="120"/>
        <w:ind w:left="425" w:hanging="0"/>
        <w:contextualSpacing/>
        <w:jc w:val="both"/>
        <w:rPr/>
      </w:pPr>
      <w:r>
        <w:rPr>
          <w:rFonts w:cs="Arial" w:ascii="Arial" w:hAnsi="Arial"/>
          <w:sz w:val="20"/>
          <w:szCs w:val="20"/>
          <w:shd w:fill="FFFFFF" w:val="clear"/>
        </w:rPr>
        <w:t xml:space="preserve">Nos termos do art. 7° do Decreto n° 7.203, de 2010, é vedada, ainda, a utilização, na execução dos serviços </w:t>
      </w:r>
      <w:r>
        <w:rPr>
          <w:rFonts w:cs="Arial" w:ascii="Arial" w:hAnsi="Arial"/>
          <w:sz w:val="20"/>
          <w:szCs w:val="20"/>
        </w:rPr>
        <w:t>contratados</w:t>
      </w:r>
      <w:r>
        <w:rPr>
          <w:rFonts w:cs="Arial" w:ascii="Arial" w:hAnsi="Arial"/>
          <w:sz w:val="20"/>
          <w:szCs w:val="20"/>
          <w:shd w:fill="FFFFFF" w:val="clear"/>
        </w:rPr>
        <w:t>, de empregado da futura Contratada que seja familiar de agente público ocupante de cargo em comissão ou função de confiança neste órgão contratante.</w:t>
      </w:r>
    </w:p>
    <w:p>
      <w:pPr>
        <w:pStyle w:val="Normal"/>
        <w:widowControl/>
        <w:numPr>
          <w:ilvl w:val="1"/>
          <w:numId w:val="4"/>
        </w:numPr>
        <w:tabs>
          <w:tab w:val="left" w:pos="855" w:leader="none"/>
        </w:tabs>
        <w:suppressAutoHyphens w:val="false"/>
        <w:spacing w:lineRule="auto" w:line="276" w:before="120" w:after="120"/>
        <w:ind w:left="425" w:hanging="0"/>
        <w:jc w:val="both"/>
        <w:rPr/>
      </w:pPr>
      <w:r>
        <w:rPr>
          <w:rFonts w:cs="Arial" w:ascii="Arial" w:hAnsi="Arial"/>
          <w:sz w:val="20"/>
          <w:szCs w:val="20"/>
        </w:rPr>
        <w:t xml:space="preserve">É vedada a contratação de uma mesma empresa para dois ou mais serviços licitados, quando, por sua natureza, esses serviços exigirem a segregação de funções, tais como serviços de </w:t>
      </w:r>
      <w:r>
        <w:rPr>
          <w:rFonts w:cs="Arial" w:ascii="Arial" w:hAnsi="Arial"/>
          <w:color w:val="000000"/>
          <w:sz w:val="20"/>
          <w:szCs w:val="20"/>
        </w:rPr>
        <w:t>execução</w:t>
      </w:r>
      <w:r>
        <w:rPr>
          <w:rFonts w:cs="Arial" w:ascii="Arial" w:hAnsi="Arial"/>
          <w:sz w:val="20"/>
          <w:szCs w:val="20"/>
        </w:rPr>
        <w:t xml:space="preserve"> e de assistência à fiscalização, assegurando a possibilidade de participação de todos licitantes em ambos os itens.</w:t>
      </w:r>
    </w:p>
    <w:p>
      <w:pPr>
        <w:pStyle w:val="ListParagraph"/>
        <w:numPr>
          <w:ilvl w:val="0"/>
          <w:numId w:val="0"/>
        </w:numPr>
        <w:spacing w:lineRule="auto" w:line="276" w:before="120" w:after="120"/>
        <w:ind w:left="720" w:hanging="0"/>
        <w:contextualSpacing/>
        <w:jc w:val="both"/>
        <w:rPr>
          <w:rFonts w:ascii="Arial" w:hAnsi="Arial" w:cs="Arial"/>
          <w:sz w:val="20"/>
          <w:szCs w:val="20"/>
        </w:rPr>
      </w:pPr>
      <w:r>
        <w:rPr>
          <w:rFonts w:cs="Arial" w:ascii="Arial" w:hAnsi="Arial"/>
          <w:sz w:val="20"/>
          <w:szCs w:val="20"/>
        </w:rPr>
      </w:r>
    </w:p>
    <w:p>
      <w:pPr>
        <w:pStyle w:val="Nivel1"/>
        <w:numPr>
          <w:ilvl w:val="0"/>
          <w:numId w:val="2"/>
        </w:numPr>
        <w:ind w:left="0" w:hanging="0"/>
        <w:rPr>
          <w:rFonts w:ascii="Arial" w:hAnsi="Arial"/>
        </w:rPr>
      </w:pPr>
      <w:r>
        <w:rPr>
          <w:rFonts w:ascii="Arial" w:hAnsi="Arial"/>
          <w:sz w:val="20"/>
          <w:szCs w:val="20"/>
        </w:rPr>
        <w:t>DA HABILITAÇÃO</w:t>
      </w:r>
    </w:p>
    <w:p>
      <w:pPr>
        <w:pStyle w:val="ListParagraph"/>
        <w:widowControl/>
        <w:numPr>
          <w:ilvl w:val="1"/>
          <w:numId w:val="8"/>
        </w:numPr>
        <w:suppressAutoHyphens w:val="false"/>
        <w:spacing w:lineRule="auto" w:line="276" w:before="120" w:after="120"/>
        <w:contextualSpacing/>
        <w:jc w:val="both"/>
        <w:rPr>
          <w:rFonts w:ascii="Arial" w:hAnsi="Arial"/>
          <w:sz w:val="20"/>
          <w:szCs w:val="20"/>
        </w:rPr>
      </w:pPr>
      <w:r>
        <w:rPr>
          <w:rFonts w:cs="Arial" w:ascii="Arial" w:hAnsi="Arial"/>
          <w:sz w:val="20"/>
          <w:szCs w:val="20"/>
          <w:lang w:eastAsia="ar-SA"/>
        </w:rPr>
        <w:t>Como condição prévia ao exame da documentação de habilitação</w:t>
      </w:r>
      <w:r>
        <w:rPr>
          <w:rFonts w:cs="Arial" w:ascii="Arial" w:hAnsi="Arial"/>
          <w:sz w:val="20"/>
          <w:szCs w:val="20"/>
        </w:rPr>
        <w:t xml:space="preserve"> do licitante </w:t>
      </w:r>
      <w:r>
        <w:rPr>
          <w:rFonts w:cs="Arial" w:ascii="Arial" w:hAnsi="Arial"/>
          <w:sz w:val="20"/>
          <w:szCs w:val="20"/>
          <w:lang w:eastAsia="ar-SA"/>
        </w:rPr>
        <w:t>será verificado o eventual descumprimento das condições de participação, especialmente quanto à</w:t>
      </w:r>
      <w:r>
        <w:rPr>
          <w:rFonts w:cs="Arial" w:ascii="Arial" w:hAnsi="Arial"/>
          <w:sz w:val="20"/>
          <w:szCs w:val="20"/>
        </w:rPr>
        <w:t xml:space="preserve"> existência de sanção que impeça a participação no certame ou a futura contratação, mediante a consulta aos seguintes cadastros:</w:t>
      </w:r>
    </w:p>
    <w:p>
      <w:pPr>
        <w:pStyle w:val="ListParagraph"/>
        <w:widowControl/>
        <w:numPr>
          <w:ilvl w:val="2"/>
          <w:numId w:val="8"/>
        </w:numPr>
        <w:suppressAutoHyphens w:val="false"/>
        <w:spacing w:lineRule="auto" w:line="276" w:before="120" w:after="120"/>
        <w:contextualSpacing/>
        <w:jc w:val="both"/>
        <w:rPr>
          <w:rFonts w:ascii="Arial" w:hAnsi="Arial" w:cs="Arial"/>
          <w:sz w:val="20"/>
        </w:rPr>
      </w:pPr>
      <w:r>
        <w:rPr>
          <w:rFonts w:cs="Arial" w:ascii="Arial" w:hAnsi="Arial"/>
          <w:sz w:val="20"/>
          <w:szCs w:val="20"/>
        </w:rPr>
        <w:t>SICAF;</w:t>
      </w:r>
    </w:p>
    <w:p>
      <w:pPr>
        <w:pStyle w:val="ListParagraph"/>
        <w:widowControl/>
        <w:numPr>
          <w:ilvl w:val="2"/>
          <w:numId w:val="8"/>
        </w:numPr>
        <w:suppressAutoHyphens w:val="false"/>
        <w:spacing w:lineRule="auto" w:line="276" w:before="120" w:after="120"/>
        <w:contextualSpacing/>
        <w:jc w:val="both"/>
        <w:rPr/>
      </w:pPr>
      <w:r>
        <w:rPr>
          <w:rFonts w:cs="Arial" w:ascii="Arial" w:hAnsi="Arial"/>
          <w:sz w:val="20"/>
          <w:szCs w:val="20"/>
        </w:rPr>
        <w:t>Cadastro Nacional de Empresas Inidôneas e Suspensas – CEIS, mantido pela Controladoria-Geral da União (</w:t>
      </w:r>
      <w:hyperlink r:id="rId2">
        <w:r>
          <w:rPr>
            <w:rStyle w:val="LinkdaInternet"/>
            <w:rFonts w:cs="Arial" w:ascii="Arial" w:hAnsi="Arial"/>
            <w:sz w:val="20"/>
            <w:szCs w:val="20"/>
          </w:rPr>
          <w:t>www.portaldatransparencia.gov.br/ceis</w:t>
        </w:r>
      </w:hyperlink>
      <w:r>
        <w:rPr>
          <w:rFonts w:cs="Arial" w:ascii="Arial" w:hAnsi="Arial"/>
          <w:sz w:val="20"/>
          <w:szCs w:val="20"/>
        </w:rPr>
        <w:t>);</w:t>
      </w:r>
    </w:p>
    <w:p>
      <w:pPr>
        <w:pStyle w:val="ListParagraph"/>
        <w:widowControl/>
        <w:numPr>
          <w:ilvl w:val="2"/>
          <w:numId w:val="8"/>
        </w:numPr>
        <w:suppressAutoHyphens w:val="false"/>
        <w:spacing w:lineRule="auto" w:line="276" w:before="120" w:after="120"/>
        <w:contextualSpacing/>
        <w:jc w:val="both"/>
        <w:rPr/>
      </w:pPr>
      <w:r>
        <w:rPr>
          <w:rFonts w:cs="Arial" w:ascii="Arial" w:hAnsi="Arial"/>
          <w:sz w:val="20"/>
          <w:szCs w:val="20"/>
        </w:rPr>
        <w:t>Cadastro Nacional de Condenações Cíveis por Atos de Improbidade Administrativa, mantido pelo Conselho Nacional de Justiça (</w:t>
      </w:r>
      <w:hyperlink r:id="rId3">
        <w:r>
          <w:rPr>
            <w:rStyle w:val="LinkdaInternet"/>
            <w:rFonts w:cs="Arial" w:ascii="Arial" w:hAnsi="Arial"/>
            <w:color w:val="0000FF"/>
            <w:sz w:val="20"/>
            <w:szCs w:val="20"/>
            <w:u w:val="single"/>
          </w:rPr>
          <w:t>www.cnj.jus.br/improbidade_adm/consultar_requerido.php</w:t>
        </w:r>
      </w:hyperlink>
      <w:r>
        <w:rPr>
          <w:rFonts w:cs="Arial" w:ascii="Arial" w:hAnsi="Arial"/>
          <w:sz w:val="20"/>
          <w:szCs w:val="20"/>
        </w:rPr>
        <w:t>).</w:t>
      </w:r>
    </w:p>
    <w:p>
      <w:pPr>
        <w:pStyle w:val="ListParagraph"/>
        <w:widowControl/>
        <w:numPr>
          <w:ilvl w:val="2"/>
          <w:numId w:val="8"/>
        </w:numPr>
        <w:suppressAutoHyphens w:val="false"/>
        <w:spacing w:lineRule="auto" w:line="276" w:before="120" w:after="120"/>
        <w:contextualSpacing/>
        <w:jc w:val="both"/>
        <w:rPr>
          <w:rFonts w:ascii="Arial" w:hAnsi="Arial" w:cs="Arial"/>
          <w:sz w:val="20"/>
        </w:rPr>
      </w:pPr>
      <w:r>
        <w:rPr>
          <w:rFonts w:cs="Arial" w:ascii="Arial" w:hAnsi="Arial"/>
          <w:sz w:val="20"/>
          <w:szCs w:val="20"/>
        </w:rPr>
        <w:t>Lista de Inidôneos e o Cadastro Integrado de Condenações por Ilícitos Administrativos - CADICON, mantidas pelo Tribunal de Contas da União – TCU;</w:t>
      </w:r>
    </w:p>
    <w:p>
      <w:pPr>
        <w:pStyle w:val="ListParagraph"/>
        <w:widowControl/>
        <w:numPr>
          <w:ilvl w:val="2"/>
          <w:numId w:val="8"/>
        </w:numPr>
        <w:suppressAutoHyphens w:val="false"/>
        <w:spacing w:lineRule="auto" w:line="276" w:before="120" w:after="120"/>
        <w:contextualSpacing/>
        <w:jc w:val="both"/>
        <w:rPr>
          <w:rFonts w:ascii="Arial" w:hAnsi="Arial"/>
          <w:sz w:val="20"/>
          <w:szCs w:val="20"/>
        </w:rPr>
      </w:pPr>
      <w:r>
        <w:rPr>
          <w:rFonts w:cs="Arial" w:ascii="Arial" w:hAnsi="Arial"/>
          <w:color w:val="000000" w:themeColor="text1"/>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widowControl/>
        <w:numPr>
          <w:ilvl w:val="3"/>
          <w:numId w:val="8"/>
        </w:numPr>
        <w:suppressAutoHyphens w:val="false"/>
        <w:spacing w:lineRule="auto" w:line="276" w:before="120" w:after="120"/>
        <w:contextualSpacing/>
        <w:jc w:val="both"/>
        <w:rPr>
          <w:rFonts w:ascii="Arial" w:hAnsi="Arial" w:cs="Arial"/>
          <w:color w:val="000000" w:themeColor="text1"/>
          <w:sz w:val="20"/>
        </w:rPr>
      </w:pPr>
      <w:r>
        <w:rPr>
          <w:rFonts w:cs="Arial" w:ascii="Arial" w:hAnsi="Arial"/>
          <w:color w:val="000000" w:themeColor="text1"/>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widowControl/>
        <w:numPr>
          <w:ilvl w:val="4"/>
          <w:numId w:val="8"/>
        </w:numPr>
        <w:suppressAutoHyphens w:val="false"/>
        <w:spacing w:lineRule="auto" w:line="276" w:before="120" w:after="120"/>
        <w:contextualSpacing/>
        <w:jc w:val="both"/>
        <w:rPr>
          <w:rFonts w:ascii="Arial" w:hAnsi="Arial" w:cs="Arial"/>
          <w:color w:val="000000" w:themeColor="text1"/>
          <w:sz w:val="20"/>
        </w:rPr>
      </w:pPr>
      <w:r>
        <w:rPr>
          <w:rFonts w:cs="Arial" w:ascii="Arial" w:hAnsi="Arial"/>
          <w:color w:val="000000" w:themeColor="text1"/>
          <w:sz w:val="20"/>
          <w:szCs w:val="20"/>
        </w:rPr>
        <w:t>A tentativa de burla será verificada por meio dos vínculos societários, linhas de fornecimento similares, dentre outros.</w:t>
      </w:r>
    </w:p>
    <w:p>
      <w:pPr>
        <w:pStyle w:val="ListParagraph"/>
        <w:widowControl/>
        <w:numPr>
          <w:ilvl w:val="4"/>
          <w:numId w:val="8"/>
        </w:numPr>
        <w:suppressAutoHyphens w:val="false"/>
        <w:spacing w:lineRule="auto" w:line="276" w:before="120" w:after="120"/>
        <w:contextualSpacing/>
        <w:jc w:val="both"/>
        <w:rPr>
          <w:rFonts w:ascii="Arial" w:hAnsi="Arial" w:cs="Arial"/>
          <w:color w:val="000000" w:themeColor="text1"/>
          <w:sz w:val="20"/>
        </w:rPr>
      </w:pPr>
      <w:r>
        <w:rPr>
          <w:rFonts w:cs="Arial" w:ascii="Arial" w:hAnsi="Arial"/>
          <w:color w:val="000000" w:themeColor="text1"/>
          <w:sz w:val="20"/>
          <w:szCs w:val="20"/>
        </w:rPr>
        <w:t>O licitante será convocado para manifestação previamente à sua desclassificação.</w:t>
      </w:r>
    </w:p>
    <w:p>
      <w:pPr>
        <w:pStyle w:val="ListParagraph"/>
        <w:widowControl/>
        <w:numPr>
          <w:ilvl w:val="2"/>
          <w:numId w:val="8"/>
        </w:numPr>
        <w:suppressAutoHyphens w:val="false"/>
        <w:spacing w:lineRule="auto" w:line="276" w:before="120" w:after="120"/>
        <w:contextualSpacing/>
        <w:jc w:val="both"/>
        <w:rPr>
          <w:rFonts w:ascii="Arial" w:hAnsi="Arial" w:cs="Arial"/>
          <w:color w:val="000000" w:themeColor="text1"/>
          <w:sz w:val="20"/>
        </w:rPr>
      </w:pPr>
      <w:r>
        <w:rPr>
          <w:rFonts w:cs="Arial" w:ascii="Arial" w:hAnsi="Arial"/>
          <w:color w:val="000000" w:themeColor="text1"/>
          <w:sz w:val="20"/>
          <w:szCs w:val="20"/>
        </w:rPr>
        <w:t>Constatada a existência de sanção, o licitante será declarado inabilitado, por falta de condição de participação.</w:t>
      </w:r>
    </w:p>
    <w:p>
      <w:pPr>
        <w:pStyle w:val="PADRO"/>
        <w:keepNext/>
        <w:widowControl/>
        <w:numPr>
          <w:ilvl w:val="1"/>
          <w:numId w:val="8"/>
        </w:numPr>
        <w:shd w:val="clear" w:fill="FFFFFF"/>
        <w:spacing w:before="120" w:after="120"/>
        <w:textAlignment w:val="baseline"/>
        <w:rPr>
          <w:rFonts w:ascii="Arial" w:hAnsi="Arial"/>
          <w:sz w:val="20"/>
          <w:szCs w:val="20"/>
        </w:rPr>
      </w:pPr>
      <w:r>
        <w:rPr>
          <w:rFonts w:cs="Arial" w:ascii="Arial" w:hAnsi="Arial"/>
          <w:color w:val="000000" w:themeColor="text1"/>
          <w:sz w:val="20"/>
          <w:szCs w:val="20"/>
        </w:rPr>
        <w:t xml:space="preserve">Não ocorrendo inabilitação, será consultado o Sistema de Cadastro Unificado de Fornecedores – SICAF, para os licitantes cadastrados, em relação à habilitação jurídica, à </w:t>
      </w:r>
      <w:r>
        <w:rPr>
          <w:rFonts w:cs="Arial" w:ascii="Arial" w:hAnsi="Arial"/>
          <w:sz w:val="20"/>
          <w:szCs w:val="20"/>
        </w:rPr>
        <w:t>regularidade fiscal, à qualificação econômica financeira e habilitação técnica, conforme o disposto nos arts.</w:t>
      </w:r>
      <w:r>
        <w:rPr>
          <w:rFonts w:cs="Arial" w:ascii="Arial" w:hAnsi="Arial"/>
          <w:color w:val="00000A"/>
          <w:sz w:val="20"/>
          <w:szCs w:val="20"/>
          <w:u w:val="none"/>
        </w:rPr>
        <w:t xml:space="preserve">10, 11, 12, 13, 14, 15 </w:t>
      </w:r>
      <w:r>
        <w:rPr>
          <w:rFonts w:cs="Arial" w:ascii="Arial" w:hAnsi="Arial"/>
          <w:color w:val="000000" w:themeColor="text1"/>
          <w:sz w:val="20"/>
          <w:szCs w:val="20"/>
        </w:rPr>
        <w:t>e 16 da Instrução Normativa SEGES/MP nº 03, de 2018.</w:t>
      </w:r>
    </w:p>
    <w:p>
      <w:pPr>
        <w:pStyle w:val="PADRO"/>
        <w:keepNext/>
        <w:widowControl/>
        <w:numPr>
          <w:ilvl w:val="0"/>
          <w:numId w:val="0"/>
        </w:numPr>
        <w:shd w:val="clear" w:fill="FFFFFF"/>
        <w:tabs>
          <w:tab w:val="left" w:pos="1470" w:leader="none"/>
        </w:tabs>
        <w:bidi w:val="0"/>
        <w:spacing w:lineRule="auto" w:line="276" w:before="120" w:after="120"/>
        <w:ind w:left="737" w:right="0" w:hanging="680"/>
        <w:jc w:val="both"/>
        <w:textAlignment w:val="baseline"/>
        <w:rPr/>
      </w:pPr>
      <w:r>
        <w:rPr>
          <w:rFonts w:cs="Arial" w:ascii="Arial" w:hAnsi="Arial"/>
          <w:sz w:val="20"/>
          <w:szCs w:val="20"/>
        </w:rPr>
        <w:t xml:space="preserve">7.2.1    O interessado, para efeitos de habilitação prevista na Instrução Normativa SEGES/MP </w:t>
        <w:tab/>
        <w:t xml:space="preserve">nº 03, de 2018 mediante utilização do sistema, deverá atender às condições exigidas </w:t>
        <w:tab/>
        <w:t xml:space="preserve">no cadastramento no SICAF até o terceiro dia útil anterior à data prevista para </w:t>
        <w:tab/>
        <w:t>recebimento das propostas;</w:t>
      </w:r>
    </w:p>
    <w:p>
      <w:pPr>
        <w:pStyle w:val="PADRO"/>
        <w:keepNext/>
        <w:widowControl/>
        <w:numPr>
          <w:ilvl w:val="1"/>
          <w:numId w:val="8"/>
        </w:numPr>
        <w:shd w:val="clear" w:fill="FFFFFF"/>
        <w:spacing w:before="120" w:after="120"/>
        <w:textAlignment w:val="baseline"/>
        <w:rPr>
          <w:rFonts w:ascii="Arial" w:hAnsi="Arial" w:cs="Arial"/>
          <w:szCs w:val="20"/>
        </w:rPr>
      </w:pPr>
      <w:r>
        <w:rPr>
          <w:rFonts w:cs="Arial" w:ascii="Arial" w:hAnsi="Arial"/>
          <w:color w:val="000000"/>
          <w:sz w:val="20"/>
          <w:szCs w:val="20"/>
        </w:rPr>
        <w:t>Também poderão ser consultados os sítios oficiais emissores de certidões, especialmente quando o licitante esteja com alguma documentação vencida junto ao SICAF.</w:t>
      </w:r>
    </w:p>
    <w:p>
      <w:pPr>
        <w:pStyle w:val="PADRO"/>
        <w:keepNext/>
        <w:widowControl/>
        <w:numPr>
          <w:ilvl w:val="1"/>
          <w:numId w:val="8"/>
        </w:numPr>
        <w:shd w:val="clear" w:fill="FFFFFF"/>
        <w:spacing w:before="120" w:after="120"/>
        <w:textAlignment w:val="baseline"/>
        <w:rPr>
          <w:rFonts w:ascii="Arial" w:hAnsi="Arial" w:cs="Arial"/>
          <w:szCs w:val="20"/>
        </w:rPr>
      </w:pPr>
      <w:r>
        <w:rPr>
          <w:rFonts w:cs="Arial" w:ascii="Arial" w:hAnsi="Arial"/>
          <w:color w:val="000000" w:themeColor="text1"/>
          <w:sz w:val="20"/>
          <w:szCs w:val="20"/>
        </w:rPr>
        <w:t>As Microempresas e Empresas de Pequeno Porte deverão encaminhar a documentação de habilitação, ainda que haja alguma restrição de regularidade fiscal e trabalhista, nos termos do art. 43, § 1º da LC nº 123, de 2006.</w:t>
      </w:r>
    </w:p>
    <w:p>
      <w:pPr>
        <w:pStyle w:val="Normal"/>
        <w:widowControl/>
        <w:numPr>
          <w:ilvl w:val="1"/>
          <w:numId w:val="8"/>
        </w:numPr>
        <w:suppressAutoHyphens w:val="false"/>
        <w:spacing w:lineRule="auto" w:line="276" w:before="120" w:after="120"/>
        <w:jc w:val="both"/>
        <w:rPr/>
      </w:pPr>
      <w:r>
        <w:rPr>
          <w:rFonts w:cs="Arial" w:ascii="Arial" w:hAnsi="Arial"/>
          <w:color w:val="000000"/>
          <w:sz w:val="20"/>
          <w:szCs w:val="20"/>
        </w:rPr>
        <w:t xml:space="preserve">Os licitantes que não estiverem cadastrados no Sistema de Cadastro Unificado de Fornecedores – SICAF, nos termos da Instrução Normativa SEGES/MP nº 3, de 2018, deverão apresentar, </w:t>
      </w:r>
      <w:r>
        <w:rPr>
          <w:rFonts w:cs="Arial" w:ascii="Arial" w:hAnsi="Arial"/>
          <w:sz w:val="20"/>
          <w:szCs w:val="20"/>
        </w:rPr>
        <w:t>no envelope nº 1,</w:t>
      </w:r>
      <w:r>
        <w:rPr>
          <w:rFonts w:cs="Arial" w:ascii="Arial" w:hAnsi="Arial"/>
          <w:color w:val="000000"/>
          <w:sz w:val="20"/>
          <w:szCs w:val="20"/>
        </w:rPr>
        <w:t xml:space="preserve"> a documentação relativa à Habilitação Jurídica e à Regularidade Fiscal e Trabalhista, bem como, à</w:t>
      </w:r>
      <w:r>
        <w:rPr>
          <w:rFonts w:cs="Arial" w:ascii="Arial" w:hAnsi="Arial"/>
          <w:color w:val="000000" w:themeColor="text1"/>
          <w:sz w:val="20"/>
          <w:szCs w:val="20"/>
        </w:rPr>
        <w:t xml:space="preserve"> Qualificação Econômico-Financeira</w:t>
      </w:r>
      <w:r>
        <w:rPr>
          <w:rFonts w:cs="Arial" w:ascii="Arial" w:hAnsi="Arial"/>
          <w:color w:val="000000"/>
          <w:sz w:val="20"/>
          <w:szCs w:val="20"/>
        </w:rPr>
        <w:t>, nas condições descritas adiante.</w:t>
      </w:r>
    </w:p>
    <w:p>
      <w:pPr>
        <w:pStyle w:val="Normal"/>
        <w:widowControl/>
        <w:numPr>
          <w:ilvl w:val="1"/>
          <w:numId w:val="8"/>
        </w:numPr>
        <w:suppressAutoHyphens w:val="false"/>
        <w:spacing w:lineRule="auto" w:line="276" w:before="120" w:after="120"/>
        <w:jc w:val="both"/>
        <w:rPr>
          <w:rFonts w:ascii="Arial" w:hAnsi="Arial" w:cs="Arial"/>
          <w:b/>
          <w:b/>
          <w:bCs/>
          <w:color w:val="000000" w:themeColor="text1"/>
          <w:sz w:val="20"/>
        </w:rPr>
      </w:pPr>
      <w:r>
        <w:rPr>
          <w:rFonts w:cs="Arial" w:ascii="Arial" w:hAnsi="Arial"/>
          <w:b/>
          <w:bCs/>
          <w:color w:val="000000"/>
          <w:sz w:val="20"/>
          <w:szCs w:val="20"/>
        </w:rPr>
        <w:t xml:space="preserve">Habilitação Jurídica: </w:t>
      </w:r>
    </w:p>
    <w:p>
      <w:pPr>
        <w:pStyle w:val="ListParagraph"/>
        <w:widowControl/>
        <w:numPr>
          <w:ilvl w:val="2"/>
          <w:numId w:val="8"/>
        </w:numPr>
        <w:suppressAutoHyphens w:val="false"/>
        <w:spacing w:lineRule="auto" w:line="276" w:before="120" w:after="120"/>
        <w:contextualSpacing/>
        <w:jc w:val="both"/>
        <w:rPr>
          <w:rFonts w:ascii="Arial" w:hAnsi="Arial" w:cs="Arial"/>
          <w:sz w:val="20"/>
        </w:rPr>
      </w:pPr>
      <w:r>
        <w:rPr>
          <w:rFonts w:cs="Arial" w:ascii="Arial" w:hAnsi="Arial"/>
          <w:sz w:val="20"/>
          <w:szCs w:val="20"/>
        </w:rPr>
        <w:t>No caso de empresário individual: inscrição no Registro Público de Empresas Mercantis, a cargo da Junta Comercial da respectiva sede;</w:t>
      </w:r>
    </w:p>
    <w:p>
      <w:pPr>
        <w:pStyle w:val="ListParagraph"/>
        <w:widowControl/>
        <w:numPr>
          <w:ilvl w:val="2"/>
          <w:numId w:val="8"/>
        </w:numPr>
        <w:suppressAutoHyphens w:val="false"/>
        <w:spacing w:lineRule="auto" w:line="276" w:before="120" w:after="120"/>
        <w:contextualSpacing/>
        <w:jc w:val="both"/>
        <w:rPr>
          <w:rFonts w:ascii="Arial" w:hAnsi="Arial" w:cs="Arial"/>
          <w:sz w:val="20"/>
        </w:rPr>
      </w:pPr>
      <w:r>
        <w:rPr>
          <w:rFonts w:cs="Arial" w:ascii="Arial" w:hAnsi="Arial"/>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ListParagraph"/>
        <w:widowControl/>
        <w:numPr>
          <w:ilvl w:val="2"/>
          <w:numId w:val="8"/>
        </w:numPr>
        <w:suppressAutoHyphens w:val="false"/>
        <w:spacing w:lineRule="auto" w:line="276" w:before="120" w:after="120"/>
        <w:contextualSpacing/>
        <w:jc w:val="both"/>
        <w:rPr>
          <w:rFonts w:ascii="Arial" w:hAnsi="Arial" w:cs="Arial"/>
          <w:sz w:val="20"/>
        </w:rPr>
      </w:pPr>
      <w:r>
        <w:rPr>
          <w:rFonts w:cs="Arial" w:ascii="Arial" w:hAnsi="Arial"/>
          <w:sz w:val="20"/>
          <w:szCs w:val="20"/>
        </w:rPr>
        <w:t>Inscrição no Registro Público de Empresas Mercantis onde opera, com averbação no Registro onde tem sede a matriz, no caso de ser o participante sucursal, filial ou agência;</w:t>
      </w:r>
    </w:p>
    <w:p>
      <w:pPr>
        <w:pStyle w:val="ListParagraph"/>
        <w:numPr>
          <w:ilvl w:val="2"/>
          <w:numId w:val="8"/>
        </w:numPr>
        <w:spacing w:lineRule="auto" w:line="276" w:before="120" w:after="120"/>
        <w:contextualSpacing/>
        <w:rPr>
          <w:rFonts w:ascii="Arial" w:hAnsi="Arial" w:cs="Arial"/>
          <w:sz w:val="20"/>
        </w:rPr>
      </w:pPr>
      <w:r>
        <w:rPr>
          <w:rFonts w:cs="Arial" w:ascii="Arial" w:hAnsi="Arial"/>
          <w:sz w:val="20"/>
          <w:szCs w:val="20"/>
        </w:rPr>
        <w:t>No caso de sociedade simples: inscrição do ato constitutivo no Registro Civil das Pessoas Jurídicas do local de sua sede, acompanhada de prova da indicação dos seus administradores;</w:t>
      </w:r>
    </w:p>
    <w:p>
      <w:pPr>
        <w:pStyle w:val="ListParagraph"/>
        <w:numPr>
          <w:ilvl w:val="0"/>
          <w:numId w:val="9"/>
        </w:numPr>
        <w:spacing w:lineRule="auto" w:line="276" w:before="120" w:after="120"/>
        <w:contextualSpacing/>
        <w:rPr>
          <w:rFonts w:ascii="Arial" w:hAnsi="Arial" w:cs="Arial"/>
          <w:vanish/>
          <w:sz w:val="20"/>
          <w:szCs w:val="20"/>
        </w:rPr>
      </w:pPr>
      <w:r>
        <w:rPr>
          <w:rFonts w:cs="Arial" w:ascii="Arial" w:hAnsi="Arial"/>
          <w:vanish/>
          <w:sz w:val="20"/>
          <w:szCs w:val="20"/>
        </w:rPr>
      </w:r>
    </w:p>
    <w:p>
      <w:pPr>
        <w:pStyle w:val="ListParagraph"/>
        <w:numPr>
          <w:ilvl w:val="1"/>
          <w:numId w:val="9"/>
        </w:numPr>
        <w:spacing w:lineRule="auto" w:line="276" w:before="120" w:after="120"/>
        <w:contextualSpacing/>
        <w:rPr>
          <w:rFonts w:ascii="Arial" w:hAnsi="Arial" w:cs="Arial"/>
          <w:vanish/>
          <w:sz w:val="20"/>
          <w:szCs w:val="20"/>
        </w:rPr>
      </w:pPr>
      <w:r>
        <w:rPr>
          <w:rFonts w:cs="Arial" w:ascii="Arial" w:hAnsi="Arial"/>
          <w:vanish/>
          <w:sz w:val="20"/>
          <w:szCs w:val="20"/>
        </w:rPr>
      </w:r>
    </w:p>
    <w:p>
      <w:pPr>
        <w:pStyle w:val="ListParagraph"/>
        <w:numPr>
          <w:ilvl w:val="1"/>
          <w:numId w:val="9"/>
        </w:numPr>
        <w:spacing w:lineRule="auto" w:line="276" w:before="120" w:after="120"/>
        <w:contextualSpacing/>
        <w:rPr>
          <w:rFonts w:ascii="Arial" w:hAnsi="Arial" w:cs="Arial"/>
          <w:vanish/>
          <w:sz w:val="20"/>
          <w:szCs w:val="20"/>
        </w:rPr>
      </w:pPr>
      <w:r>
        <w:rPr>
          <w:rFonts w:cs="Arial" w:ascii="Arial" w:hAnsi="Arial"/>
          <w:vanish/>
          <w:sz w:val="20"/>
          <w:szCs w:val="20"/>
        </w:rPr>
      </w:r>
    </w:p>
    <w:p>
      <w:pPr>
        <w:pStyle w:val="ListParagraph"/>
        <w:numPr>
          <w:ilvl w:val="2"/>
          <w:numId w:val="8"/>
        </w:numPr>
        <w:spacing w:lineRule="auto" w:line="276" w:before="120" w:after="120"/>
        <w:contextualSpacing/>
        <w:rPr>
          <w:rFonts w:ascii="Arial" w:hAnsi="Arial" w:cs="Arial"/>
          <w:sz w:val="20"/>
        </w:rPr>
      </w:pPr>
      <w:r>
        <w:rPr>
          <w:rFonts w:cs="Arial" w:ascii="Arial" w:hAnsi="Arial"/>
          <w:sz w:val="20"/>
          <w:szCs w:val="20"/>
        </w:rPr>
        <w:t>Decreto de autorização, em se tratando de sociedade empresária estrangeira em funcionamento no País;</w:t>
      </w:r>
    </w:p>
    <w:p>
      <w:pPr>
        <w:pStyle w:val="ListParagraph"/>
        <w:widowControl/>
        <w:numPr>
          <w:ilvl w:val="2"/>
          <w:numId w:val="8"/>
        </w:numPr>
        <w:suppressAutoHyphens w:val="false"/>
        <w:spacing w:lineRule="auto" w:line="276" w:before="120" w:after="120"/>
        <w:ind w:left="1429" w:hanging="720"/>
        <w:contextualSpacing/>
        <w:jc w:val="both"/>
        <w:rPr/>
      </w:pPr>
      <w:r>
        <w:rPr>
          <w:rFonts w:cs="Arial" w:ascii="Arial" w:hAnsi="Arial"/>
          <w:sz w:val="20"/>
          <w:szCs w:val="20"/>
        </w:rPr>
        <w:t>Os documentos acima deverão estar acompanhados de todas as alterações ou da consolidação respectiva;</w:t>
      </w:r>
    </w:p>
    <w:p>
      <w:pPr>
        <w:pStyle w:val="ListParagraph"/>
        <w:widowControl/>
        <w:numPr>
          <w:ilvl w:val="0"/>
          <w:numId w:val="0"/>
        </w:numPr>
        <w:suppressAutoHyphens w:val="false"/>
        <w:spacing w:lineRule="auto" w:line="276" w:before="120" w:after="120"/>
        <w:ind w:left="1429" w:hanging="720"/>
        <w:contextualSpacing/>
        <w:jc w:val="both"/>
        <w:rPr>
          <w:rFonts w:ascii="Arial" w:hAnsi="Arial" w:cs="Arial"/>
          <w:color w:val="FF0000"/>
          <w:sz w:val="20"/>
          <w:szCs w:val="20"/>
        </w:rPr>
      </w:pPr>
      <w:r>
        <w:rPr>
          <w:rFonts w:cs="Arial" w:ascii="Arial" w:hAnsi="Arial"/>
          <w:color w:val="FF0000"/>
          <w:sz w:val="20"/>
          <w:szCs w:val="20"/>
        </w:rPr>
      </w:r>
    </w:p>
    <w:p>
      <w:pPr>
        <w:pStyle w:val="ListParagraph"/>
        <w:widowControl/>
        <w:numPr>
          <w:ilvl w:val="1"/>
          <w:numId w:val="8"/>
        </w:numPr>
        <w:suppressAutoHyphens w:val="false"/>
        <w:spacing w:lineRule="auto" w:line="276" w:before="120" w:after="120"/>
        <w:contextualSpacing/>
        <w:jc w:val="both"/>
        <w:rPr/>
      </w:pPr>
      <w:r>
        <w:rPr>
          <w:rFonts w:cs="Arial" w:ascii="Arial" w:hAnsi="Arial"/>
          <w:b/>
          <w:bCs/>
          <w:color w:val="000000"/>
          <w:sz w:val="20"/>
          <w:szCs w:val="20"/>
        </w:rPr>
        <w:t xml:space="preserve">Regularidades Fiscal e Trabalhista: </w:t>
      </w:r>
    </w:p>
    <w:p>
      <w:pPr>
        <w:pStyle w:val="ListParagraph"/>
        <w:widowControl/>
        <w:numPr>
          <w:ilvl w:val="0"/>
          <w:numId w:val="0"/>
        </w:numPr>
        <w:suppressAutoHyphens w:val="false"/>
        <w:spacing w:lineRule="auto" w:line="276" w:before="120" w:after="120"/>
        <w:ind w:left="720" w:hanging="0"/>
        <w:contextualSpacing/>
        <w:jc w:val="both"/>
        <w:rPr>
          <w:rFonts w:ascii="Arial" w:hAnsi="Arial" w:cs="Arial"/>
          <w:b/>
          <w:b/>
          <w:bCs/>
          <w:color w:val="000000"/>
          <w:sz w:val="20"/>
          <w:szCs w:val="20"/>
        </w:rPr>
      </w:pPr>
      <w:r>
        <w:rPr>
          <w:rFonts w:cs="Arial" w:ascii="Arial" w:hAnsi="Arial"/>
          <w:b/>
          <w:bCs/>
          <w:color w:val="000000"/>
          <w:sz w:val="20"/>
          <w:szCs w:val="20"/>
        </w:rPr>
      </w:r>
    </w:p>
    <w:p>
      <w:pPr>
        <w:pStyle w:val="ListParagraph"/>
        <w:widowControl/>
        <w:numPr>
          <w:ilvl w:val="2"/>
          <w:numId w:val="8"/>
        </w:numPr>
        <w:suppressAutoHyphens w:val="false"/>
        <w:spacing w:lineRule="auto" w:line="276" w:before="120" w:after="120"/>
        <w:contextualSpacing/>
        <w:jc w:val="both"/>
        <w:rPr>
          <w:rFonts w:ascii="Arial" w:hAnsi="Arial" w:cs="Arial"/>
          <w:sz w:val="20"/>
        </w:rPr>
      </w:pPr>
      <w:r>
        <w:rPr>
          <w:rFonts w:cs="Arial" w:ascii="Arial" w:hAnsi="Arial"/>
          <w:sz w:val="20"/>
          <w:szCs w:val="20"/>
          <w:lang w:eastAsia="en-US"/>
        </w:rPr>
        <w:t>prova de inscrição no Cadastro Nacional de Pessoas Jurídicas;</w:t>
      </w:r>
    </w:p>
    <w:p>
      <w:pPr>
        <w:pStyle w:val="ListParagraph"/>
        <w:widowControl/>
        <w:numPr>
          <w:ilvl w:val="2"/>
          <w:numId w:val="8"/>
        </w:numPr>
        <w:suppressAutoHyphens w:val="false"/>
        <w:spacing w:lineRule="auto" w:line="276" w:before="120" w:after="120"/>
        <w:ind w:left="1429" w:hanging="720"/>
        <w:contextualSpacing/>
        <w:jc w:val="both"/>
        <w:rPr>
          <w:rFonts w:ascii="Arial" w:hAnsi="Arial" w:cs="Arial"/>
          <w:color w:val="000000"/>
          <w:sz w:val="20"/>
        </w:rPr>
      </w:pPr>
      <w:r>
        <w:rPr>
          <w:rFonts w:cs="Arial" w:ascii="Arial" w:hAnsi="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ListParagraph"/>
        <w:widowControl/>
        <w:numPr>
          <w:ilvl w:val="2"/>
          <w:numId w:val="8"/>
        </w:numPr>
        <w:suppressAutoHyphens w:val="false"/>
        <w:spacing w:lineRule="auto" w:line="276" w:before="120" w:after="120"/>
        <w:ind w:left="1429" w:hanging="720"/>
        <w:contextualSpacing/>
        <w:jc w:val="both"/>
        <w:rPr>
          <w:rFonts w:ascii="Arial" w:hAnsi="Arial" w:cs="Arial"/>
          <w:color w:val="000000"/>
          <w:sz w:val="20"/>
        </w:rPr>
      </w:pPr>
      <w:r>
        <w:rPr>
          <w:rFonts w:cs="Arial" w:ascii="Arial" w:hAnsi="Arial"/>
          <w:color w:val="000000"/>
          <w:sz w:val="20"/>
          <w:szCs w:val="20"/>
          <w:lang w:eastAsia="en-US"/>
        </w:rPr>
        <w:t>prova de regularidade com o Fundo de Garantia do Tempo de Serviço (FGTS);</w:t>
      </w:r>
    </w:p>
    <w:p>
      <w:pPr>
        <w:pStyle w:val="Nivel4"/>
        <w:numPr>
          <w:ilvl w:val="2"/>
          <w:numId w:val="8"/>
        </w:numPr>
        <w:ind w:left="1429" w:hanging="720"/>
        <w:rPr>
          <w:rFonts w:ascii="Arial" w:hAnsi="Arial"/>
          <w:color w:val="000000"/>
          <w:lang w:eastAsia="en-US"/>
        </w:rPr>
      </w:pPr>
      <w:r>
        <w:rPr>
          <w:rFonts w:ascii="Arial" w:hAnsi="Arial"/>
          <w:color w:val="000000"/>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widowControl/>
        <w:numPr>
          <w:ilvl w:val="0"/>
          <w:numId w:val="0"/>
        </w:numPr>
        <w:suppressAutoHyphens w:val="false"/>
        <w:spacing w:lineRule="auto" w:line="276" w:before="120" w:after="120"/>
        <w:ind w:left="720" w:hanging="0"/>
        <w:contextualSpacing/>
        <w:jc w:val="both"/>
        <w:rPr/>
      </w:pPr>
      <w:r>
        <w:rPr>
          <w:rFonts w:cs="Arial" w:ascii="Arial" w:hAnsi="Arial"/>
          <w:b/>
          <w:i w:val="false"/>
          <w:iCs w:val="false"/>
          <w:color w:val="000000"/>
          <w:sz w:val="20"/>
          <w:szCs w:val="20"/>
          <w:lang w:eastAsia="en-US"/>
        </w:rPr>
        <w:t xml:space="preserve">7.8 </w:t>
      </w:r>
      <w:r>
        <w:rPr>
          <w:rFonts w:cs="Arial" w:ascii="Arial" w:hAnsi="Arial"/>
          <w:b/>
          <w:color w:val="000000"/>
          <w:sz w:val="20"/>
          <w:szCs w:val="20"/>
          <w:lang w:eastAsia="en-US"/>
        </w:rPr>
        <w:t>Qualificação Técnica:</w:t>
      </w:r>
    </w:p>
    <w:p>
      <w:pPr>
        <w:pStyle w:val="Nivel3"/>
        <w:numPr>
          <w:ilvl w:val="0"/>
          <w:numId w:val="0"/>
        </w:numPr>
        <w:ind w:left="1134" w:hanging="0"/>
        <w:rPr/>
      </w:pPr>
      <w:r>
        <w:rPr>
          <w:rStyle w:val="Nivel3Char"/>
          <w:rFonts w:ascii="Arial" w:hAnsi="Arial"/>
          <w:sz w:val="20"/>
          <w:szCs w:val="20"/>
        </w:rPr>
        <w:t>7.8.1 As empresas cadastradas ou não no SICAF,</w:t>
      </w:r>
      <w:r>
        <w:rPr>
          <w:rFonts w:ascii="Arial" w:hAnsi="Arial"/>
          <w:sz w:val="20"/>
          <w:szCs w:val="20"/>
        </w:rPr>
        <w:t xml:space="preserve"> </w:t>
      </w:r>
      <w:r>
        <w:rPr>
          <w:rStyle w:val="Nivel3Char"/>
          <w:rFonts w:ascii="Arial" w:hAnsi="Arial"/>
          <w:sz w:val="20"/>
          <w:szCs w:val="20"/>
        </w:rPr>
        <w:t>deverão comprovar, ainda, a qualificação técnica, por meio da apresentação dos documentos que seguem, no envelope nº 1:</w:t>
      </w:r>
      <w:r>
        <w:rPr>
          <w:rFonts w:ascii="Arial" w:hAnsi="Arial"/>
          <w:sz w:val="20"/>
          <w:szCs w:val="20"/>
        </w:rPr>
        <w:t xml:space="preserve"> </w:t>
      </w:r>
    </w:p>
    <w:p>
      <w:pPr>
        <w:pStyle w:val="Nivel4"/>
        <w:numPr>
          <w:ilvl w:val="0"/>
          <w:numId w:val="0"/>
        </w:numPr>
        <w:ind w:left="1134" w:hanging="0"/>
        <w:rPr>
          <w:rFonts w:ascii="Arial" w:hAnsi="Arial"/>
          <w:sz w:val="20"/>
          <w:szCs w:val="20"/>
        </w:rPr>
      </w:pPr>
      <w:r>
        <w:rPr>
          <w:rFonts w:ascii="Arial" w:hAnsi="Arial"/>
          <w:sz w:val="20"/>
          <w:szCs w:val="20"/>
        </w:rPr>
        <w:t>7.8.2 Quanto à capacitação técnico-operacional: apresentação de um ou mais atestados de capacidade técnica, fornecido por pessoa jurídica de direito público ou privado devidamente identificada, em nome do licitante,</w:t>
      </w:r>
      <w:r>
        <w:rPr>
          <w:rFonts w:ascii="Arial" w:hAnsi="Arial"/>
          <w:b/>
          <w:color w:val="FF0000"/>
          <w:sz w:val="20"/>
          <w:szCs w:val="20"/>
        </w:rPr>
        <w:t xml:space="preserve"> </w:t>
      </w:r>
      <w:r>
        <w:rPr>
          <w:rFonts w:ascii="Arial" w:hAnsi="Arial"/>
          <w:sz w:val="20"/>
          <w:szCs w:val="20"/>
        </w:rPr>
        <w:t xml:space="preserve">compatível em características, </w:t>
      </w:r>
      <w:r>
        <w:rPr>
          <w:rFonts w:ascii="Arial" w:hAnsi="Arial"/>
          <w:i w:val="false"/>
          <w:iCs w:val="false"/>
          <w:color w:val="000000"/>
          <w:sz w:val="20"/>
          <w:szCs w:val="20"/>
        </w:rPr>
        <w:t>quantidades e prazos com o objeto da presente licitação.</w:t>
      </w:r>
    </w:p>
    <w:p>
      <w:pPr>
        <w:pStyle w:val="Nivel4"/>
        <w:numPr>
          <w:ilvl w:val="0"/>
          <w:numId w:val="0"/>
        </w:numPr>
        <w:ind w:left="1134" w:hanging="0"/>
        <w:rPr>
          <w:rFonts w:ascii="Arial" w:hAnsi="Arial"/>
          <w:i w:val="false"/>
          <w:i w:val="false"/>
          <w:iCs w:val="false"/>
          <w:color w:val="000000"/>
          <w:sz w:val="20"/>
          <w:szCs w:val="20"/>
        </w:rPr>
      </w:pPr>
      <w:r>
        <w:rPr>
          <w:rFonts w:ascii="Arial" w:hAnsi="Arial"/>
          <w:i w:val="false"/>
          <w:iCs w:val="false"/>
          <w:color w:val="000000"/>
          <w:sz w:val="20"/>
          <w:szCs w:val="20"/>
        </w:rPr>
        <w:t>7.8.3 Os atestados exigidos no subitem anterior, para serem aceitos, deverão ter no mínimo as seguintes informações:</w:t>
      </w:r>
    </w:p>
    <w:p>
      <w:pPr>
        <w:pStyle w:val="Nivel4"/>
        <w:widowControl/>
        <w:numPr>
          <w:ilvl w:val="0"/>
          <w:numId w:val="0"/>
        </w:numPr>
        <w:bidi w:val="0"/>
        <w:spacing w:lineRule="auto" w:line="276" w:before="120" w:after="120"/>
        <w:ind w:left="1701" w:right="0" w:hanging="737"/>
        <w:jc w:val="both"/>
        <w:rPr/>
      </w:pPr>
      <w:r>
        <w:rPr>
          <w:rFonts w:ascii="Arial" w:hAnsi="Arial"/>
          <w:i w:val="false"/>
          <w:iCs w:val="false"/>
          <w:color w:val="000000"/>
          <w:sz w:val="20"/>
          <w:szCs w:val="20"/>
        </w:rPr>
        <w:t>7.8.3.1 Estar em papel timbrado da empresa contratante, devidamente datado e assinado, conter informação do número de contrato que deu origem a contratação e endereço da contratante;</w:t>
      </w:r>
    </w:p>
    <w:p>
      <w:pPr>
        <w:pStyle w:val="Nivel4"/>
        <w:numPr>
          <w:ilvl w:val="0"/>
          <w:numId w:val="0"/>
        </w:numPr>
        <w:ind w:left="1134" w:hanging="0"/>
        <w:rPr>
          <w:rFonts w:ascii="Arial" w:hAnsi="Arial"/>
          <w:i/>
          <w:i/>
          <w:color w:val="FF0000"/>
          <w:sz w:val="20"/>
          <w:szCs w:val="20"/>
        </w:rPr>
      </w:pPr>
      <w:r>
        <w:rPr>
          <w:rFonts w:ascii="Arial" w:hAnsi="Arial"/>
          <w:i/>
          <w:color w:val="FF0000"/>
          <w:sz w:val="20"/>
          <w:szCs w:val="20"/>
        </w:rPr>
      </w:r>
    </w:p>
    <w:p>
      <w:pPr>
        <w:pStyle w:val="ListParagraph"/>
        <w:widowControl/>
        <w:numPr>
          <w:ilvl w:val="1"/>
          <w:numId w:val="10"/>
        </w:numPr>
        <w:suppressAutoHyphens w:val="false"/>
        <w:spacing w:lineRule="auto" w:line="276" w:before="120" w:after="120"/>
        <w:contextualSpacing/>
        <w:jc w:val="both"/>
        <w:rPr>
          <w:rFonts w:ascii="Arial" w:hAnsi="Arial"/>
          <w:sz w:val="20"/>
          <w:szCs w:val="20"/>
        </w:rPr>
      </w:pPr>
      <w:r>
        <w:rPr>
          <w:rFonts w:cs="Arial" w:ascii="Arial" w:hAnsi="Arial"/>
          <w:bCs/>
          <w:iCs/>
          <w:color w:val="000000"/>
          <w:sz w:val="20"/>
          <w:szCs w:val="20"/>
        </w:rPr>
        <w:t>Todos os licitantes, cadastrados ou não no SICAF, deverão apresentar, ainda, no envelope nº 1:</w:t>
      </w:r>
    </w:p>
    <w:p>
      <w:pPr>
        <w:pStyle w:val="ListParagraph"/>
        <w:widowControl/>
        <w:numPr>
          <w:ilvl w:val="2"/>
          <w:numId w:val="10"/>
        </w:numPr>
        <w:suppressAutoHyphens w:val="false"/>
        <w:bidi w:val="0"/>
        <w:spacing w:lineRule="auto" w:line="276" w:before="120" w:after="120"/>
        <w:ind w:left="1701" w:right="0" w:hanging="737"/>
        <w:contextualSpacing/>
        <w:jc w:val="both"/>
        <w:rPr/>
      </w:pPr>
      <w:r>
        <w:rPr>
          <w:rFonts w:cs="Arial" w:ascii="Arial" w:hAnsi="Arial"/>
          <w:bCs/>
          <w:iCs/>
          <w:color w:val="000000"/>
          <w:sz w:val="20"/>
          <w:szCs w:val="20"/>
        </w:rPr>
        <w:t xml:space="preserve">Declaração de que não utiliza de mão de obra direta ou indireta de menores de 18 (dezoito) anos em trabalho noturno, perigoso ou insalubre e de qualquer trabalho a menores de 16 (dezesseis) anos, salvo na condição de aprendiz, a partir de 14 (quatorze) anos, nos termos da Lei 9.854, 1999, conforme modelo </w:t>
      </w:r>
      <w:r>
        <w:rPr>
          <w:rFonts w:cs="Arial" w:ascii="Arial" w:hAnsi="Arial"/>
          <w:b/>
          <w:bCs/>
          <w:iCs/>
          <w:color w:val="000000"/>
          <w:sz w:val="20"/>
          <w:szCs w:val="20"/>
        </w:rPr>
        <w:t>ANEXO IV.</w:t>
      </w:r>
    </w:p>
    <w:p>
      <w:pPr>
        <w:pStyle w:val="Normal"/>
        <w:widowControl/>
        <w:numPr>
          <w:ilvl w:val="1"/>
          <w:numId w:val="10"/>
        </w:numPr>
        <w:suppressAutoHyphens w:val="false"/>
        <w:spacing w:lineRule="auto" w:line="276" w:before="120" w:after="120"/>
        <w:ind w:left="839" w:hanging="499"/>
        <w:jc w:val="both"/>
        <w:rPr>
          <w:rFonts w:ascii="Arial" w:hAnsi="Arial" w:cs="Arial"/>
          <w:sz w:val="20"/>
        </w:rPr>
      </w:pPr>
      <w:r>
        <w:rPr>
          <w:rFonts w:cs="Arial" w:ascii="Arial" w:hAnsi="Arial"/>
          <w:bCs/>
          <w:iCs/>
          <w:color w:val="000000"/>
          <w:sz w:val="20"/>
          <w:szCs w:val="20"/>
        </w:rPr>
        <w:t>Os documentos para habilitação poderão ser apresentados em original, por qualquer</w:t>
      </w:r>
      <w:r>
        <w:rPr>
          <w:rFonts w:cs="Arial" w:ascii="Arial" w:hAnsi="Arial"/>
          <w:sz w:val="20"/>
          <w:szCs w:val="20"/>
        </w:rPr>
        <w:t xml:space="preserve"> processo de cópia autenticada por cartório competente ou por servidor da Administração, ou publicação em órgão da imprensa oficial.</w:t>
      </w:r>
    </w:p>
    <w:p>
      <w:pPr>
        <w:pStyle w:val="ListParagraph"/>
        <w:widowControl/>
        <w:numPr>
          <w:ilvl w:val="1"/>
          <w:numId w:val="10"/>
        </w:numPr>
        <w:tabs>
          <w:tab w:val="left" w:pos="1440" w:leader="none"/>
        </w:tabs>
        <w:suppressAutoHyphens w:val="false"/>
        <w:snapToGrid w:val="false"/>
        <w:spacing w:lineRule="auto" w:line="276" w:before="120" w:after="120"/>
        <w:contextualSpacing/>
        <w:jc w:val="both"/>
        <w:rPr>
          <w:rFonts w:ascii="Arial" w:hAnsi="Arial" w:cs="Arial"/>
          <w:color w:val="000000"/>
          <w:sz w:val="20"/>
        </w:rPr>
      </w:pPr>
      <w:r>
        <w:rPr>
          <w:rFonts w:cs="Arial" w:ascii="Arial" w:hAnsi="Arial"/>
          <w:color w:val="000000"/>
          <w:sz w:val="20"/>
          <w:szCs w:val="20"/>
        </w:rPr>
        <w:t>Não</w:t>
      </w:r>
      <w:r>
        <w:rPr>
          <w:rFonts w:cs="Arial" w:ascii="Arial" w:hAnsi="Arial"/>
          <w:bCs/>
          <w:sz w:val="20"/>
          <w:szCs w:val="20"/>
        </w:rPr>
        <w:t xml:space="preserve"> serão aceitos documentos com indicação de CNPJ/CPF diferentes, salvo aqueles legalmente permitidos.</w:t>
      </w:r>
    </w:p>
    <w:p>
      <w:pPr>
        <w:pStyle w:val="ListParagraph"/>
        <w:widowControl/>
        <w:numPr>
          <w:ilvl w:val="2"/>
          <w:numId w:val="10"/>
        </w:numPr>
        <w:suppressAutoHyphens w:val="false"/>
        <w:spacing w:lineRule="auto" w:line="276" w:before="120" w:after="120"/>
        <w:contextualSpacing/>
        <w:jc w:val="both"/>
        <w:rPr>
          <w:rFonts w:ascii="Arial" w:hAnsi="Arial" w:cs="Arial"/>
          <w:color w:val="000000"/>
          <w:sz w:val="20"/>
        </w:rPr>
      </w:pPr>
      <w:r>
        <w:rPr>
          <w:rFonts w:cs="Arial" w:ascii="Arial" w:hAnsi="Arial"/>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ListParagraph"/>
        <w:widowControl/>
        <w:numPr>
          <w:ilvl w:val="2"/>
          <w:numId w:val="10"/>
        </w:numPr>
        <w:suppressAutoHyphens w:val="false"/>
        <w:spacing w:lineRule="auto" w:line="276" w:before="120" w:after="120"/>
        <w:contextualSpacing/>
        <w:jc w:val="both"/>
        <w:rPr>
          <w:rFonts w:ascii="Arial" w:hAnsi="Arial" w:cs="Arial"/>
          <w:color w:val="000000"/>
          <w:sz w:val="20"/>
        </w:rPr>
      </w:pPr>
      <w:r>
        <w:rPr>
          <w:rFonts w:cs="Arial" w:ascii="Arial" w:hAnsi="Arial"/>
          <w:color w:val="000000"/>
          <w:sz w:val="20"/>
          <w:szCs w:val="20"/>
        </w:rPr>
        <w:t>Serão aceitos registros de CNPJ de licitante matriz e filial com diferenças de números de documentos pertinentes ao CND e ao CRF/FGTS, quando for comprovada a centralização do recolhimento dessas contribuições.</w:t>
      </w:r>
    </w:p>
    <w:p>
      <w:pPr>
        <w:pStyle w:val="ListParagraph"/>
        <w:widowControl/>
        <w:numPr>
          <w:ilvl w:val="1"/>
          <w:numId w:val="10"/>
        </w:numPr>
        <w:suppressAutoHyphens w:val="false"/>
        <w:spacing w:lineRule="auto" w:line="276" w:before="120" w:after="120"/>
        <w:contextualSpacing/>
        <w:jc w:val="both"/>
        <w:rPr>
          <w:rFonts w:ascii="Arial" w:hAnsi="Arial" w:cs="Arial"/>
          <w:color w:val="000000" w:themeColor="text1"/>
          <w:sz w:val="20"/>
        </w:rPr>
      </w:pPr>
      <w:r>
        <w:rPr>
          <w:rFonts w:cs="Arial" w:ascii="Arial" w:hAnsi="Arial"/>
          <w:color w:val="000000"/>
          <w:sz w:val="20"/>
          <w:szCs w:val="20"/>
        </w:rPr>
        <w:t>A existência de restrição relativamente à regularidade fiscal e trabalhista não impede que a licitante qualificada como microempresa ou empresa de pequeno porte seja habilitada, uma vez que atenda a todas as demais exigências do edital.</w:t>
      </w:r>
    </w:p>
    <w:p>
      <w:pPr>
        <w:pStyle w:val="ListParagraph"/>
        <w:widowControl/>
        <w:numPr>
          <w:ilvl w:val="1"/>
          <w:numId w:val="10"/>
        </w:numPr>
        <w:suppressAutoHyphens w:val="false"/>
        <w:spacing w:lineRule="auto" w:line="276" w:before="120" w:after="120"/>
        <w:contextualSpacing/>
        <w:jc w:val="both"/>
        <w:rPr>
          <w:rFonts w:ascii="Arial" w:hAnsi="Arial" w:cs="Arial"/>
          <w:color w:val="000000" w:themeColor="text1"/>
          <w:sz w:val="20"/>
        </w:rPr>
      </w:pPr>
      <w:r>
        <w:rPr>
          <w:rFonts w:cs="Arial" w:ascii="Arial" w:hAnsi="Arial"/>
          <w:color w:val="000000"/>
          <w:sz w:val="20"/>
          <w:szCs w:val="20"/>
          <w:lang w:eastAsia="en-US"/>
        </w:rPr>
        <w:t>Constatado o atendimento às exigências de habilitação fixadas no Edital, o licitante estará habilitado para a fase de classificação.</w:t>
      </w:r>
    </w:p>
    <w:p>
      <w:pPr>
        <w:pStyle w:val="Nivel1"/>
        <w:numPr>
          <w:ilvl w:val="0"/>
          <w:numId w:val="0"/>
        </w:numPr>
        <w:rPr>
          <w:rFonts w:ascii="Arial" w:hAnsi="Arial"/>
          <w:sz w:val="20"/>
          <w:szCs w:val="20"/>
        </w:rPr>
      </w:pPr>
      <w:r>
        <w:rPr>
          <w:rFonts w:ascii="Arial" w:hAnsi="Arial"/>
          <w:sz w:val="20"/>
          <w:szCs w:val="20"/>
        </w:rPr>
      </w:r>
    </w:p>
    <w:p>
      <w:pPr>
        <w:pStyle w:val="Nivel1"/>
        <w:numPr>
          <w:ilvl w:val="0"/>
          <w:numId w:val="2"/>
        </w:numPr>
        <w:ind w:left="0" w:hanging="0"/>
        <w:rPr>
          <w:rFonts w:ascii="Arial" w:hAnsi="Arial"/>
        </w:rPr>
      </w:pPr>
      <w:r>
        <w:rPr>
          <w:rFonts w:ascii="Arial" w:hAnsi="Arial"/>
          <w:sz w:val="20"/>
          <w:szCs w:val="20"/>
        </w:rPr>
        <w:t>DA PROPOSTA</w:t>
      </w:r>
    </w:p>
    <w:p>
      <w:pPr>
        <w:pStyle w:val="Corpodetexto"/>
        <w:widowControl/>
        <w:numPr>
          <w:ilvl w:val="1"/>
          <w:numId w:val="11"/>
        </w:numPr>
        <w:suppressAutoHyphens w:val="false"/>
        <w:spacing w:lineRule="auto" w:line="276" w:before="120" w:after="120"/>
        <w:ind w:left="425" w:hanging="0"/>
        <w:jc w:val="both"/>
        <w:rPr>
          <w:rFonts w:ascii="Arial" w:hAnsi="Arial" w:cs="Arial"/>
          <w:sz w:val="20"/>
        </w:rPr>
      </w:pPr>
      <w:r>
        <w:rPr>
          <w:rFonts w:cs="Arial" w:ascii="Arial" w:hAnsi="Arial"/>
          <w:sz w:val="20"/>
          <w:szCs w:val="20"/>
        </w:rPr>
        <w:t>A proposta de preço, apresentada no envelope nº 2, será redigida no idioma pátrio, impressa, rubricada em todas as suas páginas e ao final firmada pelo representante legal da empresa licitante, sem emendas, entrelinhas ou ressalvas, devendo conter:</w:t>
      </w:r>
    </w:p>
    <w:p>
      <w:pPr>
        <w:pStyle w:val="ListParagraph"/>
        <w:widowControl/>
        <w:numPr>
          <w:ilvl w:val="2"/>
          <w:numId w:val="11"/>
        </w:numPr>
        <w:suppressAutoHyphens w:val="false"/>
        <w:spacing w:lineRule="auto" w:line="276" w:before="120" w:after="120"/>
        <w:ind w:left="1134" w:hanging="0"/>
        <w:contextualSpacing/>
        <w:jc w:val="both"/>
        <w:rPr>
          <w:rFonts w:ascii="Arial" w:hAnsi="Arial" w:cs="Arial"/>
          <w:sz w:val="20"/>
        </w:rPr>
      </w:pPr>
      <w:r>
        <w:rPr>
          <w:rFonts w:cs="Arial" w:ascii="Arial" w:hAnsi="Arial"/>
          <w:sz w:val="20"/>
          <w:szCs w:val="20"/>
        </w:rPr>
        <w:t>a razão social e CNPJ da empresa licitante;</w:t>
      </w:r>
    </w:p>
    <w:p>
      <w:pPr>
        <w:pStyle w:val="Corpodetexto"/>
        <w:numPr>
          <w:ilvl w:val="2"/>
          <w:numId w:val="11"/>
        </w:numPr>
        <w:spacing w:lineRule="auto" w:line="276" w:before="120" w:after="120"/>
        <w:ind w:left="1134" w:hanging="0"/>
        <w:jc w:val="both"/>
        <w:rPr>
          <w:rFonts w:ascii="Arial" w:hAnsi="Arial"/>
          <w:sz w:val="20"/>
          <w:szCs w:val="20"/>
        </w:rPr>
      </w:pPr>
      <w:r>
        <w:rPr>
          <w:rFonts w:cs="Arial" w:ascii="Arial" w:hAnsi="Arial"/>
          <w:sz w:val="20"/>
          <w:szCs w:val="20"/>
        </w:rPr>
        <w:t>descrição do objeto de forma clara, observadas as especificações constantes do Projeto Básico;</w:t>
      </w:r>
    </w:p>
    <w:p>
      <w:pPr>
        <w:pStyle w:val="Corpodetexto"/>
        <w:numPr>
          <w:ilvl w:val="2"/>
          <w:numId w:val="11"/>
        </w:numPr>
        <w:spacing w:lineRule="auto" w:line="276" w:before="120" w:after="120"/>
        <w:ind w:left="1134" w:hanging="0"/>
        <w:jc w:val="both"/>
        <w:rPr>
          <w:rStyle w:val="Manoel"/>
          <w:color w:val="00000A"/>
        </w:rPr>
      </w:pPr>
      <w:r>
        <w:rPr>
          <w:rFonts w:cs="Arial" w:ascii="Arial" w:hAnsi="Arial"/>
          <w:sz w:val="20"/>
          <w:szCs w:val="20"/>
        </w:rPr>
        <w:t>preços unitários e valor global da proposta, em algarismo, expresso em moeda corrente nacional (real), de acordo com os preços praticados no mercado, considerando o modelo de Planilha Orçamentária anexo ao Edital;</w:t>
      </w:r>
    </w:p>
    <w:p>
      <w:pPr>
        <w:pStyle w:val="Corpodetexto"/>
        <w:numPr>
          <w:ilvl w:val="2"/>
          <w:numId w:val="11"/>
        </w:numPr>
        <w:spacing w:lineRule="auto" w:line="276" w:before="120" w:after="120"/>
        <w:ind w:left="1134" w:hanging="0"/>
        <w:jc w:val="both"/>
        <w:rPr/>
      </w:pPr>
      <w:r>
        <w:rPr>
          <w:rStyle w:val="Manoel"/>
          <w:rFonts w:ascii="Arial" w:hAnsi="Arial"/>
          <w:color w:val="00000A"/>
          <w:sz w:val="20"/>
          <w:szCs w:val="20"/>
        </w:rPr>
        <w:t xml:space="preserve">Planilha de proposta comercial, conforme </w:t>
      </w:r>
      <w:r>
        <w:rPr>
          <w:rStyle w:val="Manoel"/>
          <w:rFonts w:ascii="Arial" w:hAnsi="Arial"/>
          <w:b/>
          <w:bCs/>
          <w:color w:val="00000A"/>
          <w:sz w:val="20"/>
          <w:szCs w:val="20"/>
        </w:rPr>
        <w:t>ANEXO II.</w:t>
      </w:r>
    </w:p>
    <w:p>
      <w:pPr>
        <w:pStyle w:val="PADRO"/>
        <w:keepNext/>
        <w:widowControl/>
        <w:numPr>
          <w:ilvl w:val="3"/>
          <w:numId w:val="11"/>
        </w:numPr>
        <w:shd w:val="clear" w:fill="FFFFFF"/>
        <w:spacing w:before="120" w:after="120"/>
        <w:rPr/>
      </w:pPr>
      <w:r>
        <w:rPr>
          <w:rFonts w:cs="Arial" w:ascii="Arial" w:hAnsi="Arial"/>
          <w:sz w:val="20"/>
          <w:szCs w:val="20"/>
        </w:rPr>
        <w:t xml:space="preserve">Nos preços cotados deverão estar incluídos </w:t>
      </w:r>
      <w:r>
        <w:rPr>
          <w:rStyle w:val="Manoel"/>
          <w:rFonts w:ascii="Arial" w:hAnsi="Arial"/>
          <w:color w:val="00000A"/>
          <w:sz w:val="20"/>
          <w:szCs w:val="20"/>
        </w:rPr>
        <w:t>custos operacionais, encargos previdenciários, trabalhistas, tributários, comerciais e quaisquer outros que incidam direta ou indiretamente na execução do objeto</w:t>
      </w:r>
      <w:r>
        <w:rPr>
          <w:rFonts w:cs="Arial" w:ascii="Arial" w:hAnsi="Arial"/>
          <w:sz w:val="20"/>
          <w:szCs w:val="20"/>
        </w:rPr>
        <w:t xml:space="preserve"> e todos os insumos que os compõem, tais como despesas com impostos, taxas, fretes, seguros e quaisquer outros que incidam na contratação do objeto;</w:t>
      </w:r>
    </w:p>
    <w:p>
      <w:pPr>
        <w:pStyle w:val="PADRO"/>
        <w:keepNext/>
        <w:widowControl/>
        <w:numPr>
          <w:ilvl w:val="3"/>
          <w:numId w:val="11"/>
        </w:numPr>
        <w:shd w:val="clear" w:fill="FFFFFF"/>
        <w:spacing w:before="120" w:after="120"/>
        <w:rPr>
          <w:rFonts w:ascii="Arial" w:hAnsi="Arial"/>
          <w:sz w:val="20"/>
          <w:szCs w:val="20"/>
        </w:rPr>
      </w:pPr>
      <w:r>
        <w:rPr>
          <w:rFonts w:cs="Arial" w:ascii="Arial" w:hAnsi="Arial"/>
          <w:sz w:val="20"/>
          <w:szCs w:val="20"/>
        </w:rPr>
        <w:t>Não se admitirá, na proposta de preços, custos identificados mediante o uso da expressão “verba” ou de unidades genéricas.</w:t>
      </w:r>
    </w:p>
    <w:p>
      <w:pPr>
        <w:pStyle w:val="Corpodetexto"/>
        <w:numPr>
          <w:ilvl w:val="2"/>
          <w:numId w:val="11"/>
        </w:numPr>
        <w:spacing w:lineRule="auto" w:line="276" w:before="120" w:after="120"/>
        <w:ind w:left="1713" w:hanging="720"/>
        <w:jc w:val="both"/>
        <w:rPr>
          <w:rFonts w:ascii="Arial" w:hAnsi="Arial"/>
          <w:sz w:val="20"/>
          <w:szCs w:val="20"/>
        </w:rPr>
      </w:pPr>
      <w:r>
        <w:rPr>
          <w:rFonts w:cs="Arial" w:ascii="Arial" w:hAnsi="Arial"/>
          <w:sz w:val="20"/>
          <w:szCs w:val="20"/>
        </w:rPr>
        <w:t>Prazo de validade da proposta de 60 (sessenta) dias, a contar da data de abertura do certame.</w:t>
      </w:r>
    </w:p>
    <w:p>
      <w:pPr>
        <w:pStyle w:val="Corpodetexto"/>
        <w:numPr>
          <w:ilvl w:val="1"/>
          <w:numId w:val="11"/>
        </w:numPr>
        <w:spacing w:lineRule="auto" w:line="276" w:before="120" w:after="120"/>
        <w:ind w:left="851" w:hanging="499"/>
        <w:jc w:val="both"/>
        <w:rPr/>
      </w:pPr>
      <w:r>
        <w:rPr>
          <w:rStyle w:val="Manoel"/>
          <w:rFonts w:eastAsia="Calibri" w:ascii="Arial" w:hAnsi="Arial"/>
          <w:iCs/>
          <w:color w:val="00000A"/>
          <w:sz w:val="20"/>
          <w:szCs w:val="20"/>
          <w:lang w:eastAsia="en-US"/>
        </w:rPr>
        <w:t>Todas as especificações do objeto contidas na proposta vinculam a Contratada.</w:t>
      </w:r>
    </w:p>
    <w:p>
      <w:pPr>
        <w:pStyle w:val="Corpodetexto"/>
        <w:widowControl/>
        <w:numPr>
          <w:ilvl w:val="1"/>
          <w:numId w:val="11"/>
        </w:numPr>
        <w:suppressAutoHyphens w:val="false"/>
        <w:spacing w:lineRule="auto" w:line="276" w:before="120" w:after="120"/>
        <w:ind w:left="851" w:hanging="499"/>
        <w:jc w:val="both"/>
        <w:rPr/>
      </w:pPr>
      <w:r>
        <w:rPr>
          <w:rStyle w:val="Manoel"/>
          <w:rFonts w:ascii="Arial" w:hAnsi="Arial"/>
          <w:color w:val="00000A"/>
          <w:sz w:val="20"/>
          <w:szCs w:val="20"/>
        </w:rPr>
        <w:t>Erros no preenchimento da planilha não constituem motivo para a desclassificação da proposta.</w:t>
      </w:r>
    </w:p>
    <w:p>
      <w:pPr>
        <w:pStyle w:val="Corpodetexto"/>
        <w:widowControl/>
        <w:numPr>
          <w:ilvl w:val="2"/>
          <w:numId w:val="11"/>
        </w:numPr>
        <w:suppressAutoHyphens w:val="false"/>
        <w:spacing w:lineRule="auto" w:line="276" w:before="120" w:after="120"/>
        <w:ind w:left="1713" w:hanging="720"/>
        <w:jc w:val="both"/>
        <w:rPr>
          <w:rStyle w:val="Manoel"/>
          <w:color w:val="00000A"/>
        </w:rPr>
      </w:pPr>
      <w:r>
        <w:rPr>
          <w:rStyle w:val="Manoel"/>
          <w:rFonts w:ascii="Arial" w:hAnsi="Arial"/>
          <w:color w:val="00000A"/>
          <w:sz w:val="20"/>
          <w:szCs w:val="20"/>
        </w:rPr>
        <w:t>A planilha poderá ser ajustada pelo licitante, no prazo indicado pela Comissão, desde que não haja majoração do preço proposto.</w:t>
      </w:r>
    </w:p>
    <w:p>
      <w:pPr>
        <w:pStyle w:val="Corpodetexto"/>
        <w:widowControl/>
        <w:numPr>
          <w:ilvl w:val="1"/>
          <w:numId w:val="11"/>
        </w:numPr>
        <w:suppressAutoHyphens w:val="false"/>
        <w:spacing w:lineRule="auto" w:line="276" w:before="120" w:after="120"/>
        <w:ind w:left="851" w:hanging="499"/>
        <w:jc w:val="both"/>
        <w:rPr>
          <w:rFonts w:ascii="Arial" w:hAnsi="Arial" w:cs="Arial"/>
          <w:sz w:val="20"/>
        </w:rPr>
      </w:pPr>
      <w:r>
        <w:rPr>
          <w:rFonts w:cs="Arial" w:ascii="Arial" w:hAnsi="Arial"/>
          <w:sz w:val="20"/>
          <w:szCs w:val="20"/>
        </w:rPr>
        <w:t>A apresentação das propostas implica obrigatoriedade do cumprimento das disposições nelas contidas, em conformidade com o que dispõe o Projeto Básico,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pPr>
        <w:pStyle w:val="Corpodetexto"/>
        <w:widowControl/>
        <w:numPr>
          <w:ilvl w:val="1"/>
          <w:numId w:val="11"/>
        </w:numPr>
        <w:suppressAutoHyphens w:val="false"/>
        <w:spacing w:lineRule="auto" w:line="276" w:before="120" w:after="120"/>
        <w:ind w:left="851" w:hanging="499"/>
        <w:jc w:val="both"/>
        <w:rPr>
          <w:rFonts w:ascii="Arial" w:hAnsi="Arial" w:cs="Arial"/>
          <w:sz w:val="20"/>
        </w:rPr>
      </w:pPr>
      <w:r>
        <w:rPr>
          <w:rFonts w:cs="Arial" w:ascii="Arial" w:hAnsi="Arial"/>
          <w:sz w:val="20"/>
          <w:szCs w:val="20"/>
        </w:rPr>
        <w:t>Os preços ofertados, tanto na proposta inicial, serão de exclusiva responsabilidade do licitante, não lhe assistindo o direito de pleitear qualquer alteração, sob alegação de erro, omissão ou qualquer outro pretexto.</w:t>
      </w:r>
    </w:p>
    <w:p>
      <w:pPr>
        <w:pStyle w:val="Corpodetexto"/>
        <w:widowControl/>
        <w:numPr>
          <w:ilvl w:val="1"/>
          <w:numId w:val="11"/>
        </w:numPr>
        <w:suppressAutoHyphens w:val="false"/>
        <w:spacing w:lineRule="auto" w:line="276" w:before="120" w:after="120"/>
        <w:ind w:left="851" w:hanging="499"/>
        <w:jc w:val="both"/>
        <w:rPr>
          <w:rFonts w:ascii="Arial" w:hAnsi="Arial" w:cs="Arial"/>
          <w:sz w:val="20"/>
        </w:rPr>
      </w:pPr>
      <w:r>
        <w:rPr>
          <w:rFonts w:cs="Arial" w:ascii="Arial" w:hAnsi="Arial"/>
          <w:sz w:val="20"/>
          <w:szCs w:val="20"/>
        </w:rPr>
        <w:t>Os licitantes devem respeitar os preços máximos estabelecidos nas normas de regência de contratações públicas federais, quando participarem de licitações públicas (Acórdão nº 1455/2018 -TCU - Plenário).</w:t>
      </w:r>
    </w:p>
    <w:p>
      <w:pPr>
        <w:pStyle w:val="Corpodetexto"/>
        <w:widowControl/>
        <w:numPr>
          <w:ilvl w:val="2"/>
          <w:numId w:val="11"/>
        </w:numPr>
        <w:suppressAutoHyphens w:val="false"/>
        <w:spacing w:lineRule="auto" w:line="276" w:before="120" w:after="120"/>
        <w:ind w:left="1713" w:hanging="720"/>
        <w:jc w:val="both"/>
        <w:rPr>
          <w:rFonts w:ascii="Arial" w:hAnsi="Arial" w:cs="Arial"/>
          <w:sz w:val="20"/>
        </w:rPr>
      </w:pPr>
      <w:r>
        <w:rPr>
          <w:rFonts w:cs="Arial" w:ascii="Arial" w:hAnsi="Arial"/>
          <w:sz w:val="20"/>
          <w:szCs w:val="20"/>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pPr>
        <w:pStyle w:val="Corpodetexto"/>
        <w:widowControl/>
        <w:numPr>
          <w:ilvl w:val="0"/>
          <w:numId w:val="0"/>
        </w:numPr>
        <w:suppressAutoHyphens w:val="false"/>
        <w:spacing w:lineRule="auto" w:line="276" w:before="120" w:after="120"/>
        <w:ind w:left="851" w:hanging="499"/>
        <w:jc w:val="both"/>
        <w:rPr>
          <w:rFonts w:ascii="Arial" w:hAnsi="Arial" w:cs="Arial"/>
          <w:sz w:val="20"/>
          <w:szCs w:val="20"/>
        </w:rPr>
      </w:pPr>
      <w:r>
        <w:rPr>
          <w:rFonts w:cs="Arial" w:ascii="Arial" w:hAnsi="Arial"/>
          <w:sz w:val="20"/>
          <w:szCs w:val="20"/>
        </w:rPr>
      </w:r>
    </w:p>
    <w:p>
      <w:pPr>
        <w:pStyle w:val="ListParagraph"/>
        <w:numPr>
          <w:ilvl w:val="0"/>
          <w:numId w:val="11"/>
        </w:numPr>
        <w:spacing w:before="120" w:after="120"/>
        <w:contextualSpacing/>
        <w:jc w:val="both"/>
        <w:rPr>
          <w:rFonts w:ascii="Arial" w:hAnsi="Arial" w:cs="Arial"/>
          <w:b/>
          <w:b/>
          <w:sz w:val="20"/>
        </w:rPr>
      </w:pPr>
      <w:r>
        <w:rPr>
          <w:rFonts w:cs="Arial" w:ascii="Arial" w:hAnsi="Arial"/>
          <w:b/>
          <w:sz w:val="20"/>
          <w:szCs w:val="20"/>
        </w:rPr>
        <w:t>DA ABERTURA DOS ENVELOPES</w:t>
      </w:r>
    </w:p>
    <w:p>
      <w:pPr>
        <w:pStyle w:val="Nivel2"/>
        <w:numPr>
          <w:ilvl w:val="1"/>
          <w:numId w:val="16"/>
        </w:numPr>
        <w:rPr>
          <w:rFonts w:ascii="Arial" w:hAnsi="Arial" w:cs="Arial"/>
        </w:rPr>
      </w:pPr>
      <w:r>
        <w:rPr>
          <w:rFonts w:cs="Arial" w:ascii="Arial" w:hAnsi="Arial"/>
          <w:sz w:val="20"/>
          <w:szCs w:val="20"/>
        </w:rPr>
        <w:t>No dia, hora e local designados neste Edital, em ato público, na presença dos licitantes, a Comissão Permanente de Licitação receberá, de uma só vez, os Envelopes nº 01 e nº 02, bem como as declarações complementares, e procederá à abertura da licitação.</w:t>
      </w:r>
    </w:p>
    <w:p>
      <w:pPr>
        <w:pStyle w:val="Nivel3"/>
        <w:numPr>
          <w:ilvl w:val="2"/>
          <w:numId w:val="16"/>
        </w:numPr>
        <w:rPr>
          <w:rFonts w:ascii="Arial" w:hAnsi="Arial"/>
          <w:color w:val="00000A"/>
        </w:rPr>
      </w:pPr>
      <w:r>
        <w:rPr>
          <w:rFonts w:ascii="Arial" w:hAnsi="Arial"/>
          <w:sz w:val="20"/>
          <w:szCs w:val="20"/>
        </w:rPr>
        <w:t xml:space="preserve">Os atos públicos poderão ser assistidos por qualquer pessoa, mas somente deles participarão ativamente os licitantes ou representantes credenciados, não sendo permitida a intercomunicação entre eles, nem atitudes desrespeitosas ou que </w:t>
      </w:r>
      <w:r>
        <w:rPr>
          <w:rFonts w:ascii="Arial" w:hAnsi="Arial"/>
          <w:color w:val="00000A"/>
          <w:sz w:val="20"/>
          <w:szCs w:val="20"/>
        </w:rPr>
        <w:t>causem tumultos e perturbem o bom andamento dos trabalhos.</w:t>
      </w:r>
    </w:p>
    <w:p>
      <w:pPr>
        <w:pStyle w:val="Nivel3"/>
        <w:numPr>
          <w:ilvl w:val="1"/>
          <w:numId w:val="16"/>
        </w:numPr>
        <w:rPr>
          <w:rFonts w:ascii="Arial" w:hAnsi="Arial"/>
          <w:sz w:val="20"/>
          <w:szCs w:val="20"/>
        </w:rPr>
      </w:pPr>
      <w:r>
        <w:rPr>
          <w:rFonts w:ascii="Arial" w:hAnsi="Arial"/>
          <w:color w:val="00000A"/>
          <w:sz w:val="20"/>
          <w:szCs w:val="20"/>
        </w:rPr>
        <w:t xml:space="preserve">Como condição para participação, o licitante cadastrado, ou não, no SICAF, deve entregar, no </w:t>
      </w:r>
      <w:r>
        <w:rPr>
          <w:rFonts w:ascii="Arial" w:hAnsi="Arial"/>
          <w:b/>
          <w:bCs/>
          <w:color w:val="00000A"/>
          <w:sz w:val="20"/>
          <w:szCs w:val="20"/>
        </w:rPr>
        <w:t>Envelope nº 1</w:t>
      </w:r>
      <w:r>
        <w:rPr>
          <w:rFonts w:ascii="Arial" w:hAnsi="Arial"/>
          <w:color w:val="00000A"/>
          <w:sz w:val="20"/>
          <w:szCs w:val="20"/>
        </w:rPr>
        <w:t>, as declarações complementares que consistem nos seguintes documentos:</w:t>
      </w:r>
    </w:p>
    <w:p>
      <w:pPr>
        <w:pStyle w:val="ListParagraph"/>
        <w:widowControl/>
        <w:numPr>
          <w:ilvl w:val="2"/>
          <w:numId w:val="13"/>
        </w:numPr>
        <w:suppressAutoHyphens w:val="false"/>
        <w:spacing w:lineRule="auto" w:line="276" w:before="120" w:after="120"/>
        <w:ind w:left="1134" w:hanging="0"/>
        <w:contextualSpacing/>
        <w:jc w:val="both"/>
        <w:rPr>
          <w:rFonts w:ascii="Arial" w:hAnsi="Arial"/>
          <w:sz w:val="20"/>
          <w:szCs w:val="20"/>
        </w:rPr>
      </w:pPr>
      <w:r>
        <w:rPr>
          <w:rFonts w:cs="Arial" w:ascii="Arial" w:hAnsi="Arial"/>
          <w:bCs/>
          <w:iCs/>
          <w:color w:val="000000"/>
          <w:sz w:val="20"/>
          <w:szCs w:val="20"/>
        </w:rPr>
        <w:t xml:space="preserve">de que cumpre os requisitos estabelecidos no artigo 3° da Lei Complementar nº 123, de 2006, caso opte por usufruir do tratamento favorecido estabelecido em seus arts. 42 a 49; conforme modelo constante no </w:t>
      </w:r>
      <w:r>
        <w:rPr>
          <w:rFonts w:cs="Arial" w:ascii="Arial" w:hAnsi="Arial"/>
          <w:b/>
          <w:bCs/>
          <w:iCs/>
          <w:color w:val="000000"/>
          <w:sz w:val="20"/>
          <w:szCs w:val="20"/>
        </w:rPr>
        <w:t>ANEXO VI.</w:t>
      </w:r>
    </w:p>
    <w:p>
      <w:pPr>
        <w:pStyle w:val="ListParagraph"/>
        <w:widowControl/>
        <w:numPr>
          <w:ilvl w:val="3"/>
          <w:numId w:val="13"/>
        </w:numPr>
        <w:suppressAutoHyphens w:val="false"/>
        <w:spacing w:lineRule="auto" w:line="276" w:before="120" w:after="120"/>
        <w:ind w:left="1701" w:hanging="0"/>
        <w:contextualSpacing/>
        <w:jc w:val="both"/>
        <w:rPr>
          <w:rFonts w:ascii="Arial" w:hAnsi="Arial"/>
          <w:sz w:val="20"/>
          <w:szCs w:val="20"/>
        </w:rPr>
      </w:pPr>
      <w:r>
        <w:rPr>
          <w:rFonts w:cs="Arial" w:ascii="Arial" w:hAnsi="Arial"/>
          <w:bCs/>
          <w:iCs/>
          <w:color w:val="000000"/>
          <w:sz w:val="20"/>
          <w:szCs w:val="20"/>
        </w:rPr>
        <w:t>nos itens exclusivos para participação de microempresas e empresas de pequeno porte, a ausência da declaração impedirá o prosseguimento no certame;</w:t>
      </w:r>
    </w:p>
    <w:p>
      <w:pPr>
        <w:pStyle w:val="ListParagraph"/>
        <w:widowControl/>
        <w:numPr>
          <w:ilvl w:val="0"/>
          <w:numId w:val="12"/>
        </w:numPr>
        <w:suppressAutoHyphens w:val="false"/>
        <w:spacing w:lineRule="auto" w:line="276" w:before="120" w:after="120"/>
        <w:contextualSpacing/>
        <w:jc w:val="both"/>
        <w:rPr>
          <w:rFonts w:ascii="Arial" w:hAnsi="Arial" w:cs="Arial"/>
          <w:bCs/>
          <w:iCs/>
          <w:vanish/>
          <w:color w:val="000000"/>
          <w:sz w:val="20"/>
          <w:szCs w:val="20"/>
        </w:rPr>
      </w:pPr>
      <w:r>
        <w:rPr>
          <w:rFonts w:cs="Arial" w:ascii="Arial" w:hAnsi="Arial"/>
          <w:bCs/>
          <w:iCs/>
          <w:vanish/>
          <w:color w:val="000000"/>
          <w:sz w:val="20"/>
          <w:szCs w:val="20"/>
        </w:rPr>
      </w:r>
    </w:p>
    <w:p>
      <w:pPr>
        <w:pStyle w:val="ListParagraph"/>
        <w:widowControl/>
        <w:numPr>
          <w:ilvl w:val="3"/>
          <w:numId w:val="12"/>
        </w:numPr>
        <w:suppressAutoHyphens w:val="false"/>
        <w:spacing w:lineRule="auto" w:line="276" w:before="120" w:after="120"/>
        <w:contextualSpacing/>
        <w:jc w:val="both"/>
        <w:rPr>
          <w:rFonts w:ascii="Arial" w:hAnsi="Arial" w:cs="Arial"/>
          <w:bCs/>
          <w:iCs/>
          <w:vanish/>
          <w:color w:val="000000"/>
          <w:sz w:val="20"/>
          <w:szCs w:val="20"/>
        </w:rPr>
      </w:pPr>
      <w:r>
        <w:rPr>
          <w:rFonts w:cs="Arial" w:ascii="Arial" w:hAnsi="Arial"/>
          <w:bCs/>
          <w:iCs/>
          <w:vanish/>
          <w:color w:val="000000"/>
          <w:sz w:val="20"/>
          <w:szCs w:val="20"/>
        </w:rPr>
      </w:r>
    </w:p>
    <w:p>
      <w:pPr>
        <w:pStyle w:val="ListParagraph"/>
        <w:widowControl/>
        <w:numPr>
          <w:ilvl w:val="3"/>
          <w:numId w:val="12"/>
        </w:numPr>
        <w:suppressAutoHyphens w:val="false"/>
        <w:spacing w:lineRule="auto" w:line="276" w:before="120" w:after="120"/>
        <w:ind w:left="1701" w:hanging="0"/>
        <w:contextualSpacing/>
        <w:jc w:val="both"/>
        <w:rPr>
          <w:rFonts w:ascii="Arial" w:hAnsi="Arial"/>
          <w:sz w:val="20"/>
          <w:szCs w:val="20"/>
        </w:rPr>
      </w:pPr>
      <w:r>
        <w:rPr>
          <w:rFonts w:cs="Arial" w:ascii="Arial" w:hAnsi="Arial"/>
          <w:bCs/>
          <w:iCs/>
          <w:color w:val="000000"/>
          <w:sz w:val="20"/>
          <w:szCs w:val="20"/>
        </w:rPr>
        <w:t>nos itens em que a participação não for exclusiva para microempresas e empresas de pequeno porte, a ausência da declaração apenas produzirá o efeito de o licitante não ter direito ao tratamento favorecido previsto na Lei Complementar nº 123, de 2006, mesmo que microempresa, empresa de pequeno porte .</w:t>
      </w:r>
    </w:p>
    <w:p>
      <w:pPr>
        <w:pStyle w:val="ListParagraph"/>
        <w:widowControl/>
        <w:numPr>
          <w:ilvl w:val="2"/>
          <w:numId w:val="12"/>
        </w:numPr>
        <w:suppressAutoHyphens w:val="false"/>
        <w:spacing w:lineRule="auto" w:line="276" w:before="120" w:after="120"/>
        <w:contextualSpacing/>
        <w:jc w:val="both"/>
        <w:rPr/>
      </w:pPr>
      <w:r>
        <w:rPr>
          <w:rFonts w:cs="Arial" w:ascii="Arial" w:hAnsi="Arial"/>
          <w:bCs/>
          <w:iCs/>
          <w:color w:val="000000"/>
          <w:sz w:val="20"/>
          <w:szCs w:val="20"/>
        </w:rPr>
        <w:t xml:space="preserve">que está ciente e concorda com as condições contidas no Edital e seus anexos, bem como de que cumpre plenamente os requisitos de habilitação definidos no Edital, conforme modelo constante no </w:t>
      </w:r>
      <w:r>
        <w:rPr>
          <w:rFonts w:cs="Arial" w:ascii="Arial" w:hAnsi="Arial"/>
          <w:b/>
          <w:bCs/>
          <w:iCs/>
          <w:color w:val="000000"/>
          <w:sz w:val="20"/>
          <w:szCs w:val="20"/>
        </w:rPr>
        <w:t>ANEXO IV.</w:t>
      </w:r>
    </w:p>
    <w:p>
      <w:pPr>
        <w:pStyle w:val="ListParagraph"/>
        <w:widowControl/>
        <w:numPr>
          <w:ilvl w:val="2"/>
          <w:numId w:val="12"/>
        </w:numPr>
        <w:suppressAutoHyphens w:val="false"/>
        <w:spacing w:lineRule="auto" w:line="276" w:before="120" w:after="120"/>
        <w:contextualSpacing/>
        <w:jc w:val="both"/>
        <w:rPr>
          <w:rFonts w:ascii="Arial" w:hAnsi="Arial"/>
          <w:sz w:val="20"/>
          <w:szCs w:val="20"/>
        </w:rPr>
      </w:pPr>
      <w:r>
        <w:rPr>
          <w:rFonts w:cs="Arial" w:ascii="Arial" w:hAnsi="Arial"/>
          <w:bCs/>
          <w:iCs/>
          <w:color w:val="000000"/>
          <w:sz w:val="20"/>
          <w:szCs w:val="20"/>
        </w:rPr>
        <w:t xml:space="preserve">que inexistem fatos impeditivos para sua habilitação no certame, ciente da obrigatoriedade de declarar ocorrências posteriores; </w:t>
      </w:r>
    </w:p>
    <w:p>
      <w:pPr>
        <w:pStyle w:val="ListParagraph"/>
        <w:widowControl/>
        <w:numPr>
          <w:ilvl w:val="2"/>
          <w:numId w:val="12"/>
        </w:numPr>
        <w:suppressAutoHyphens w:val="false"/>
        <w:spacing w:lineRule="auto" w:line="276" w:before="120" w:after="120"/>
        <w:contextualSpacing/>
        <w:jc w:val="both"/>
        <w:rPr>
          <w:rFonts w:ascii="Arial" w:hAnsi="Arial"/>
          <w:sz w:val="20"/>
          <w:szCs w:val="20"/>
        </w:rPr>
      </w:pPr>
      <w:r>
        <w:rPr>
          <w:rFonts w:cs="Arial" w:ascii="Arial" w:hAnsi="Arial"/>
          <w:bCs/>
          <w:iCs/>
          <w:color w:val="000000"/>
          <w:sz w:val="20"/>
          <w:szCs w:val="20"/>
        </w:rPr>
        <w:t xml:space="preserve">que a proposta foi elaborada de forma independente, nos termos da Instrução Normativa SLTI/MP nº 2, de 16 de setembro de 2009, conforme modelo constante no </w:t>
      </w:r>
      <w:r>
        <w:rPr>
          <w:rFonts w:cs="Arial" w:ascii="Arial" w:hAnsi="Arial"/>
          <w:b/>
          <w:bCs/>
          <w:iCs/>
          <w:color w:val="000000"/>
          <w:sz w:val="20"/>
          <w:szCs w:val="20"/>
        </w:rPr>
        <w:t>ANEXO V.</w:t>
      </w:r>
    </w:p>
    <w:p>
      <w:pPr>
        <w:pStyle w:val="ListParagraph"/>
        <w:widowControl/>
        <w:numPr>
          <w:ilvl w:val="2"/>
          <w:numId w:val="12"/>
        </w:numPr>
        <w:suppressAutoHyphens w:val="false"/>
        <w:spacing w:lineRule="auto" w:line="276" w:before="120" w:after="120"/>
        <w:contextualSpacing/>
        <w:jc w:val="both"/>
        <w:rPr/>
      </w:pPr>
      <w:r>
        <w:rPr>
          <w:rFonts w:cs="Arial" w:ascii="Arial" w:hAnsi="Arial"/>
          <w:bCs/>
          <w:iCs/>
          <w:color w:val="000000"/>
          <w:sz w:val="20"/>
          <w:szCs w:val="20"/>
        </w:rPr>
        <w:t xml:space="preserve"> </w:t>
      </w:r>
      <w:r>
        <w:rPr>
          <w:rFonts w:cs="Arial" w:ascii="Arial" w:hAnsi="Arial"/>
          <w:bCs/>
          <w:iCs/>
          <w:color w:val="000000"/>
          <w:sz w:val="20"/>
          <w:szCs w:val="20"/>
        </w:rPr>
        <w:t xml:space="preserve">que não possui, em sua cadeia produtiva, empregados executando trabalho degradante ou forçado, observando o disposto nos incisos III e IV do art. 1º e no inciso III do art. 5º da Constituição Federal; conforme modelo constante no </w:t>
      </w:r>
      <w:r>
        <w:rPr>
          <w:rFonts w:cs="Arial" w:ascii="Arial" w:hAnsi="Arial"/>
          <w:b/>
          <w:bCs/>
          <w:iCs/>
          <w:color w:val="000000"/>
          <w:sz w:val="20"/>
          <w:szCs w:val="20"/>
        </w:rPr>
        <w:t>ANEXO IV.</w:t>
      </w:r>
    </w:p>
    <w:p>
      <w:pPr>
        <w:pStyle w:val="ListParagraph"/>
        <w:widowControl/>
        <w:numPr>
          <w:ilvl w:val="2"/>
          <w:numId w:val="12"/>
        </w:numPr>
        <w:suppressAutoHyphens w:val="false"/>
        <w:spacing w:lineRule="auto" w:line="276" w:before="120" w:after="120"/>
        <w:contextualSpacing/>
        <w:jc w:val="both"/>
        <w:rPr/>
      </w:pPr>
      <w:r>
        <w:rPr>
          <w:rFonts w:cs="Arial" w:ascii="Arial" w:hAnsi="Arial"/>
          <w:bCs/>
          <w:iCs/>
          <w:color w:val="000000"/>
          <w:sz w:val="20"/>
          <w:szCs w:val="20"/>
        </w:rPr>
        <w:t xml:space="preserve"> </w:t>
      </w:r>
      <w:bookmarkStart w:id="1" w:name="__DdeLink__3699_1113434458"/>
      <w:bookmarkEnd w:id="1"/>
      <w:r>
        <w:rPr>
          <w:rFonts w:cs="Arial" w:ascii="Arial" w:hAnsi="Arial"/>
          <w:bCs/>
          <w:iCs/>
          <w:color w:val="000000"/>
          <w:sz w:val="20"/>
          <w:szCs w:val="20"/>
        </w:rPr>
        <w:t xml:space="preserve">que cumprem a reserva de cargos prevista em lei para pessoa com deficiência ou para reabilitado da Previdência Social e que atendam às regras de acessibilidade previstas na legislação, conforme disposto no art. 93 da Lei nº 8.213, de 24 de julho de 1991, caso opte pelo benefício previsto no art. 3º, § 2º, inciso V, da Lei nº 8.666/1993, conforme modelo constante no </w:t>
      </w:r>
      <w:r>
        <w:rPr>
          <w:rFonts w:cs="Arial" w:ascii="Arial" w:hAnsi="Arial"/>
          <w:b/>
          <w:bCs/>
          <w:iCs/>
          <w:color w:val="000000"/>
          <w:sz w:val="20"/>
          <w:szCs w:val="20"/>
        </w:rPr>
        <w:t>ANEXO IV.</w:t>
      </w:r>
    </w:p>
    <w:p>
      <w:pPr>
        <w:pStyle w:val="ListParagraph"/>
        <w:widowControl/>
        <w:suppressAutoHyphens w:val="false"/>
        <w:spacing w:lineRule="auto" w:line="276" w:before="120" w:after="120"/>
        <w:ind w:left="1134" w:hanging="0"/>
        <w:contextualSpacing/>
        <w:jc w:val="both"/>
        <w:rPr>
          <w:rFonts w:ascii="Arial" w:hAnsi="Arial" w:cs="Arial"/>
          <w:bCs/>
          <w:iCs/>
          <w:color w:val="000000"/>
          <w:sz w:val="20"/>
          <w:szCs w:val="20"/>
        </w:rPr>
      </w:pPr>
      <w:r>
        <w:rPr>
          <w:rFonts w:cs="Arial" w:ascii="Arial" w:hAnsi="Arial"/>
          <w:bCs/>
          <w:iCs/>
          <w:color w:val="000000"/>
          <w:sz w:val="20"/>
          <w:szCs w:val="20"/>
        </w:rPr>
      </w:r>
    </w:p>
    <w:p>
      <w:pPr>
        <w:pStyle w:val="ListParagraph"/>
        <w:widowControl/>
        <w:numPr>
          <w:ilvl w:val="1"/>
          <w:numId w:val="12"/>
        </w:numPr>
        <w:suppressAutoHyphens w:val="false"/>
        <w:spacing w:lineRule="auto" w:line="276" w:before="120" w:after="120"/>
        <w:contextualSpacing/>
        <w:jc w:val="both"/>
        <w:rPr>
          <w:rFonts w:ascii="Arial" w:hAnsi="Arial" w:cs="Arial"/>
          <w:bCs/>
          <w:iCs/>
          <w:color w:val="000000"/>
          <w:sz w:val="20"/>
        </w:rPr>
      </w:pPr>
      <w:r>
        <w:rPr>
          <w:rFonts w:cs="Arial" w:ascii="Arial" w:hAnsi="Arial"/>
          <w:bCs/>
          <w:iCs/>
          <w:color w:val="000000"/>
          <w:sz w:val="20"/>
          <w:szCs w:val="20"/>
        </w:rPr>
        <w:t>A declaração falsa relativa ao cumprimento de qualquer condição sujeitará o licitante às sanções previstas em lei e neste Edital.</w:t>
      </w:r>
    </w:p>
    <w:p>
      <w:pPr>
        <w:pStyle w:val="PADRO"/>
        <w:keepNext/>
        <w:widowControl/>
        <w:numPr>
          <w:ilvl w:val="1"/>
          <w:numId w:val="12"/>
        </w:numPr>
        <w:shd w:val="clear" w:fill="FFFFFF"/>
        <w:spacing w:before="120" w:after="120"/>
        <w:textAlignment w:val="baseline"/>
        <w:rPr>
          <w:rFonts w:ascii="Arial" w:hAnsi="Arial"/>
          <w:sz w:val="20"/>
          <w:szCs w:val="20"/>
        </w:rPr>
      </w:pPr>
      <w:r>
        <w:rPr>
          <w:rFonts w:cs="Arial" w:ascii="Arial" w:hAnsi="Arial"/>
          <w:sz w:val="20"/>
          <w:szCs w:val="20"/>
        </w:rPr>
        <w:t>Como condição para a aplicação do tratamento diferenciado previsto na Lei Complementar n. 123/2006, a Comissão de Licitação poderá realizar consultas e diligências para verificar se o somatório dos valores das ordens bancárias recebidas pela ME/EPP, no exercício anterior, extrapola o limite previsto no artigo 3°, inciso II, da referida Lei, ou o limite proporcional de que trata o artigo 3°, §2°, do mesmo diploma, em caso de início de atividade no exercício considerado.</w:t>
      </w:r>
    </w:p>
    <w:p>
      <w:pPr>
        <w:pStyle w:val="PADRO"/>
        <w:keepNext/>
        <w:widowControl/>
        <w:numPr>
          <w:ilvl w:val="2"/>
          <w:numId w:val="12"/>
        </w:numPr>
        <w:shd w:val="clear" w:fill="FFFFFF"/>
        <w:spacing w:before="120" w:after="120"/>
        <w:textAlignment w:val="baseline"/>
        <w:rPr>
          <w:rFonts w:ascii="Arial" w:hAnsi="Arial" w:cs="Arial"/>
          <w:szCs w:val="20"/>
        </w:rPr>
      </w:pPr>
      <w:r>
        <w:rPr>
          <w:rFonts w:cs="Arial" w:ascii="Arial" w:hAnsi="Arial"/>
          <w:sz w:val="20"/>
          <w:szCs w:val="20"/>
        </w:rPr>
        <w:t xml:space="preserve"> </w:t>
      </w:r>
      <w:r>
        <w:rPr>
          <w:rFonts w:cs="Arial" w:ascii="Arial" w:hAnsi="Arial"/>
          <w:sz w:val="20"/>
          <w:szCs w:val="20"/>
        </w:rPr>
        <w:t>Para a microempresa ou empresa de pequeno porte, a consulta também abrangerá o exercício corrente, para verificar se o somatório dos valores das ordens bancárias por ela recebidas, até o mês anterior ao da sessão pública da licitação, extrapola os limites acima referidos, acrescidos do percentual de 20% (vinte por cento) de que trata o artigo 3°, §§ 9°-A e 12, da Lei Complementar n° 123, de 2006;</w:t>
      </w:r>
    </w:p>
    <w:p>
      <w:pPr>
        <w:pStyle w:val="PADRO"/>
        <w:keepNext/>
        <w:widowControl/>
        <w:numPr>
          <w:ilvl w:val="2"/>
          <w:numId w:val="12"/>
        </w:numPr>
        <w:shd w:val="clear" w:fill="FFFFFF"/>
        <w:spacing w:before="120" w:after="120"/>
        <w:textAlignment w:val="baseline"/>
        <w:rPr>
          <w:rFonts w:ascii="Arial" w:hAnsi="Arial" w:cs="Arial"/>
          <w:szCs w:val="20"/>
        </w:rPr>
      </w:pPr>
      <w:r>
        <w:rPr>
          <w:rFonts w:cs="Arial" w:ascii="Arial" w:hAnsi="Arial"/>
          <w:sz w:val="20"/>
          <w:szCs w:val="20"/>
        </w:rPr>
        <w:t>A participação em licitação na condição de microempresa ou empresa de pequeno porte, sem que haja o enquadramento nessas categorias, ensejará a aplicação das sanções previstas em Lei e a não-aplicação, na presente licitação, dos benefícios decorrentes dessa qualificação.</w:t>
      </w:r>
    </w:p>
    <w:p>
      <w:pPr>
        <w:pStyle w:val="Nivel2"/>
        <w:numPr>
          <w:ilvl w:val="1"/>
          <w:numId w:val="12"/>
        </w:numPr>
        <w:ind w:left="425" w:hanging="0"/>
        <w:rPr>
          <w:rFonts w:ascii="Arial" w:hAnsi="Arial"/>
          <w:sz w:val="20"/>
          <w:szCs w:val="20"/>
        </w:rPr>
      </w:pPr>
      <w:r>
        <w:rPr>
          <w:rFonts w:cs="Arial" w:ascii="Arial" w:hAnsi="Arial"/>
          <w:sz w:val="20"/>
          <w:szCs w:val="20"/>
        </w:rPr>
        <w:t xml:space="preserve">Depois de ultrapassado o horário para recebimento dos envelopes, nenhum outro será recebido, nem tampouco serão permitidos quaisquer adendos ou esclarecimentos relativos à documentação ou proposta de preços apresentadas. </w:t>
      </w:r>
    </w:p>
    <w:p>
      <w:pPr>
        <w:pStyle w:val="Nivel2"/>
        <w:numPr>
          <w:ilvl w:val="1"/>
          <w:numId w:val="12"/>
        </w:numPr>
        <w:ind w:left="425" w:hanging="0"/>
        <w:rPr>
          <w:rFonts w:ascii="Arial" w:hAnsi="Arial"/>
          <w:sz w:val="20"/>
          <w:szCs w:val="20"/>
        </w:rPr>
      </w:pPr>
      <w:r>
        <w:rPr>
          <w:rFonts w:cs="Arial" w:ascii="Arial" w:hAnsi="Arial"/>
          <w:sz w:val="20"/>
          <w:szCs w:val="20"/>
        </w:rPr>
        <w:t>A seguir, serão identificados os licitantes e proceder-se-á à abertura dos Envelopes nº 01 – Documentos de Habilitação.</w:t>
      </w:r>
    </w:p>
    <w:p>
      <w:pPr>
        <w:pStyle w:val="Nivel3"/>
        <w:numPr>
          <w:ilvl w:val="2"/>
          <w:numId w:val="12"/>
        </w:numPr>
        <w:ind w:left="1134" w:hanging="0"/>
        <w:rPr>
          <w:rFonts w:ascii="Arial" w:hAnsi="Arial"/>
        </w:rPr>
      </w:pPr>
      <w:r>
        <w:rPr>
          <w:rFonts w:ascii="Arial" w:hAnsi="Arial"/>
          <w:sz w:val="20"/>
          <w:szCs w:val="20"/>
        </w:rPr>
        <w:t>O conteúdo dos envelopes será rubricado pelos membros da Comissão e pelos licitantes presentes ou por seus representantes, e consultado o SICAF, se for o caso.</w:t>
      </w:r>
    </w:p>
    <w:p>
      <w:pPr>
        <w:pStyle w:val="Nivel2"/>
        <w:numPr>
          <w:ilvl w:val="1"/>
          <w:numId w:val="12"/>
        </w:numPr>
        <w:ind w:left="425" w:hanging="0"/>
        <w:rPr>
          <w:rFonts w:ascii="Arial" w:hAnsi="Arial"/>
          <w:sz w:val="20"/>
          <w:szCs w:val="20"/>
        </w:rPr>
      </w:pPr>
      <w:r>
        <w:rPr>
          <w:rFonts w:cs="Arial" w:ascii="Arial" w:hAnsi="Arial"/>
          <w:sz w:val="20"/>
          <w:szCs w:val="20"/>
        </w:rPr>
        <w:t>Como condição prévia ao exame da documentação de habilitação do licitante, a Comissão verificará o eventual descumprimento das condições de participação, especialmente quanto à existência de sanção que impeça a participação no certame ou a futura contratação, nos termos do subitem 7.1 deste Edital.</w:t>
      </w:r>
    </w:p>
    <w:p>
      <w:pPr>
        <w:pStyle w:val="Nivel3"/>
        <w:numPr>
          <w:ilvl w:val="1"/>
          <w:numId w:val="15"/>
        </w:numPr>
        <w:ind w:left="425" w:hanging="0"/>
        <w:rPr>
          <w:rFonts w:ascii="Arial" w:hAnsi="Arial"/>
        </w:rPr>
      </w:pPr>
      <w:r>
        <w:rPr>
          <w:rFonts w:ascii="Arial" w:hAnsi="Arial"/>
          <w:sz w:val="20"/>
          <w:szCs w:val="20"/>
        </w:rPr>
        <w:t>Caso a Comissão julgue conveniente, poderá suspender a reunião para analisar os documentos apresentados, marcando, na oportunidade, nova data e horário em que voltará a reunir-se, informando os licitantes. Nessa hipótese, todos os documentos de habilitação já rubricados e os Envelopes n° 02 - Proposta de Preços, rubricados externamente por todos os licitantes e pelos membros da Comissão, permanecerão em poder desta, até que seja concluída a fase de habilitação.</w:t>
      </w:r>
    </w:p>
    <w:p>
      <w:pPr>
        <w:pStyle w:val="Nivel2"/>
        <w:numPr>
          <w:ilvl w:val="1"/>
          <w:numId w:val="14"/>
        </w:numPr>
        <w:ind w:left="425" w:hanging="0"/>
        <w:rPr>
          <w:rFonts w:ascii="Arial" w:hAnsi="Arial" w:cs="Arial"/>
        </w:rPr>
      </w:pPr>
      <w:r>
        <w:rPr>
          <w:rFonts w:cs="Arial" w:ascii="Arial" w:hAnsi="Arial"/>
          <w:sz w:val="20"/>
          <w:szCs w:val="20"/>
        </w:rPr>
        <w:t xml:space="preserve">Ao licitante inabilitado será devolvido o respectivo Envelope n° 02, sem ser aberto, depois de transcorrido o prazo legal sem interposição de recurso ou de sua desistência, ou da decisão desfavorável do recurso. </w:t>
      </w:r>
    </w:p>
    <w:p>
      <w:pPr>
        <w:pStyle w:val="Nivel2"/>
        <w:numPr>
          <w:ilvl w:val="1"/>
          <w:numId w:val="14"/>
        </w:numPr>
        <w:ind w:left="425" w:hanging="0"/>
        <w:rPr>
          <w:rFonts w:ascii="Arial" w:hAnsi="Arial"/>
          <w:sz w:val="20"/>
          <w:szCs w:val="20"/>
        </w:rPr>
      </w:pPr>
      <w:r>
        <w:rPr>
          <w:rFonts w:cs="Arial" w:ascii="Arial" w:hAnsi="Arial"/>
          <w:sz w:val="20"/>
          <w:szCs w:val="20"/>
        </w:rPr>
        <w:t>Após o procedimento de verificação da documentação de habilitação, os Envelopes n° 02 – Proposta de Preços dos licitantes habilitados serão abertos, na mesma sessão, desde que todos os licitantes tenham desistido expressamente do direito de recorrer, ou em ato público especificamente marcado para este fim, após o regular decurso da fase recursal.</w:t>
      </w:r>
    </w:p>
    <w:p>
      <w:pPr>
        <w:pStyle w:val="Nivel2"/>
        <w:numPr>
          <w:ilvl w:val="2"/>
          <w:numId w:val="14"/>
        </w:numPr>
        <w:rPr>
          <w:rFonts w:ascii="Arial" w:hAnsi="Arial"/>
          <w:sz w:val="20"/>
          <w:szCs w:val="20"/>
        </w:rPr>
      </w:pPr>
      <w:r>
        <w:rPr>
          <w:rFonts w:cs="Arial" w:ascii="Arial" w:hAnsi="Arial"/>
          <w:sz w:val="20"/>
          <w:szCs w:val="20"/>
        </w:rPr>
        <w:t>Não ocorrendo a desistência expressa de todos os licitantes, quanto ao direito de recorrer, os Envelopes n° 02 – Proposta de Preços serão rubricados pelos licitantes presentes ao ato e mantidos invioláveis até a posterior abertura.</w:t>
      </w:r>
    </w:p>
    <w:p>
      <w:pPr>
        <w:pStyle w:val="Nivel2"/>
        <w:numPr>
          <w:ilvl w:val="2"/>
          <w:numId w:val="14"/>
        </w:numPr>
        <w:rPr>
          <w:rFonts w:ascii="Arial" w:hAnsi="Arial" w:cs="Arial"/>
        </w:rPr>
      </w:pPr>
      <w:r>
        <w:rPr>
          <w:rFonts w:cs="Arial" w:ascii="Arial" w:hAnsi="Arial"/>
          <w:sz w:val="20"/>
          <w:szCs w:val="20"/>
        </w:rPr>
        <w:t>Ultrapassada a fase de habilitação e abertas as propostas, não cabe desclassificar o licitante por motivo relacionado com a habilitação, salvo em razão de fatos supervenientes ou só conhecidos após o julgamento.</w:t>
      </w:r>
    </w:p>
    <w:p>
      <w:pPr>
        <w:pStyle w:val="Nivel2"/>
        <w:numPr>
          <w:ilvl w:val="1"/>
          <w:numId w:val="14"/>
        </w:numPr>
        <w:ind w:left="425" w:hanging="0"/>
        <w:rPr>
          <w:rFonts w:ascii="Arial" w:hAnsi="Arial" w:cs="Arial"/>
        </w:rPr>
      </w:pPr>
      <w:r>
        <w:rPr>
          <w:rFonts w:cs="Arial" w:ascii="Arial" w:hAnsi="Arial"/>
          <w:sz w:val="20"/>
          <w:szCs w:val="20"/>
        </w:rPr>
        <w:t>As propostas de preços dos licitantes habilitados serão então julgadas, conforme item próprio deste Instrumento Convocatório.</w:t>
      </w:r>
    </w:p>
    <w:p>
      <w:pPr>
        <w:pStyle w:val="Nivel2"/>
        <w:numPr>
          <w:ilvl w:val="1"/>
          <w:numId w:val="14"/>
        </w:numPr>
        <w:ind w:left="425" w:hanging="0"/>
        <w:rPr>
          <w:rFonts w:ascii="Arial" w:hAnsi="Arial" w:cs="Arial"/>
        </w:rPr>
      </w:pPr>
      <w:r>
        <w:rPr>
          <w:rFonts w:cs="Arial" w:ascii="Arial" w:hAnsi="Arial"/>
          <w:sz w:val="20"/>
          <w:szCs w:val="20"/>
        </w:rPr>
        <w:t>Se todos os licitantes forem inabilitados ou todas as propostas forem desclassificadas, a Comissão Permanente de Licitação poderá fixar o prazo de 08 (oito) dias úteis para a apresentação de nova documentação ou proposta, escoimadas das causas que as inabilitaram ou desclassificaram.</w:t>
      </w:r>
    </w:p>
    <w:p>
      <w:pPr>
        <w:pStyle w:val="Nivel2"/>
        <w:numPr>
          <w:ilvl w:val="1"/>
          <w:numId w:val="14"/>
        </w:numPr>
        <w:ind w:left="425" w:hanging="0"/>
        <w:rPr>
          <w:rFonts w:ascii="Arial" w:hAnsi="Arial" w:cs="Arial"/>
        </w:rPr>
      </w:pPr>
      <w:r>
        <w:rPr>
          <w:rFonts w:cs="Arial" w:ascii="Arial" w:hAnsi="Arial"/>
          <w:sz w:val="20"/>
          <w:szCs w:val="20"/>
        </w:rPr>
        <w:t>Em todos os atos públicos, serão lavradas atas circunstanciadas, assinadas pelos membros da Comissão e pelos representantes credenciados e licitantes presentes.</w:t>
      </w:r>
    </w:p>
    <w:p>
      <w:pPr>
        <w:pStyle w:val="Nivel2"/>
        <w:numPr>
          <w:ilvl w:val="1"/>
          <w:numId w:val="14"/>
        </w:numPr>
        <w:ind w:left="425" w:hanging="0"/>
        <w:rPr>
          <w:rFonts w:ascii="Arial" w:hAnsi="Arial" w:cs="Arial"/>
        </w:rPr>
      </w:pPr>
      <w:r>
        <w:rPr>
          <w:rFonts w:cs="Arial" w:ascii="Arial" w:hAnsi="Arial"/>
          <w:sz w:val="20"/>
          <w:szCs w:val="20"/>
        </w:rPr>
        <w:t>Será considerado inabilitado o licitante que:</w:t>
      </w:r>
    </w:p>
    <w:p>
      <w:pPr>
        <w:pStyle w:val="Nivel2"/>
        <w:numPr>
          <w:ilvl w:val="2"/>
          <w:numId w:val="14"/>
        </w:numPr>
        <w:rPr>
          <w:rFonts w:ascii="Arial" w:hAnsi="Arial"/>
          <w:sz w:val="20"/>
          <w:szCs w:val="20"/>
        </w:rPr>
      </w:pPr>
      <w:r>
        <w:rPr>
          <w:rFonts w:cs="Arial" w:ascii="Arial" w:hAnsi="Arial"/>
          <w:sz w:val="20"/>
          <w:szCs w:val="20"/>
        </w:rPr>
        <w:t>Não apresentar os documentos exigidos por este Instrumento Convocatório no prazo de validade e/ou devidamente atualizados, ou não comprovar sua habilitação por meio do SICAF, ressalvado o disposto quanto à comprovação da regularidade fiscal das microempresas, empresas de pequeno porte.</w:t>
      </w:r>
    </w:p>
    <w:p>
      <w:pPr>
        <w:pStyle w:val="Nivel2"/>
        <w:numPr>
          <w:ilvl w:val="2"/>
          <w:numId w:val="14"/>
        </w:numPr>
        <w:rPr>
          <w:rFonts w:ascii="Arial" w:hAnsi="Arial" w:cs="Arial"/>
        </w:rPr>
      </w:pPr>
      <w:r>
        <w:rPr>
          <w:rFonts w:cs="Arial" w:ascii="Arial" w:hAnsi="Arial"/>
          <w:sz w:val="20"/>
          <w:szCs w:val="20"/>
        </w:rPr>
        <w:t>Incluir a proposta de preços no Envelope n° 01.</w:t>
      </w:r>
    </w:p>
    <w:p>
      <w:pPr>
        <w:pStyle w:val="Nivel2"/>
        <w:numPr>
          <w:ilvl w:val="1"/>
          <w:numId w:val="14"/>
        </w:numPr>
        <w:ind w:left="425" w:hanging="0"/>
        <w:rPr>
          <w:rFonts w:ascii="Arial" w:hAnsi="Arial"/>
          <w:sz w:val="20"/>
          <w:szCs w:val="20"/>
        </w:rPr>
      </w:pPr>
      <w:r>
        <w:rPr>
          <w:rFonts w:cs="Arial" w:ascii="Arial" w:hAnsi="Arial"/>
          <w:sz w:val="20"/>
          <w:szCs w:val="20"/>
        </w:rPr>
        <w:t>Constatada a existência de alguma restrição no que tange à regularidade fiscal e trabalhista de microempresa, empresa de pequeno porte, a mesma terá o prazo de 5 (cinco) dias úteis para a regularização da documentação, a realização do pagamento ou parcelamento do débito e a emissão de eventuais certidões negativas ou positivas com efeito de certidão negativa. O prazo para regularização fiscal será contado a partir da divulgação do resultado do julgamento das propostas e poderá ser prorrogado por igual período a critério da administração pública, quando requerida pelo licitante, mediante apresentação de justificativa.</w:t>
      </w:r>
    </w:p>
    <w:p>
      <w:pPr>
        <w:pStyle w:val="Nivel2"/>
        <w:numPr>
          <w:ilvl w:val="0"/>
          <w:numId w:val="0"/>
        </w:numPr>
        <w:ind w:left="425" w:hanging="0"/>
        <w:rPr>
          <w:rFonts w:ascii="Arial" w:hAnsi="Arial" w:cs="Arial"/>
        </w:rPr>
      </w:pPr>
      <w:r>
        <w:rPr>
          <w:rFonts w:cs="Arial" w:ascii="Arial" w:hAnsi="Arial"/>
          <w:sz w:val="20"/>
          <w:szCs w:val="20"/>
        </w:rPr>
        <w:t xml:space="preserve">9.14. A não regularização fiscal e trabalhista no prazo previsto no subitem anterior acarretará a inabilitação do licitante, sem prejuízo das sanções previstas no art. 87 da Lei nº 8.666, de 1993, sendo facultado à administração pública convocar os licitantes remanescentes, na ordem de classificação, ou revogar a licitação. </w:t>
      </w:r>
    </w:p>
    <w:p>
      <w:pPr>
        <w:pStyle w:val="Nivel2"/>
        <w:numPr>
          <w:ilvl w:val="0"/>
          <w:numId w:val="0"/>
        </w:numPr>
        <w:ind w:left="425" w:hanging="0"/>
        <w:rPr>
          <w:rFonts w:ascii="Arial" w:hAnsi="Arial" w:cs="Arial"/>
        </w:rPr>
      </w:pPr>
      <w:r>
        <w:rPr>
          <w:rFonts w:cs="Arial" w:ascii="Arial" w:hAnsi="Arial"/>
          <w:sz w:val="20"/>
          <w:szCs w:val="20"/>
        </w:rPr>
        <w:t>9.15. A intimação dos atos de habilitação ou inabilitação dos licitantes será feita mediante publicação na imprensa oficial, salvo se presentes os prepostos dos licitantes no ato público em que foi adotada a decisão, caso em que a intimação será feita por comunicação direta aos interessados e lavrada em ata.</w:t>
      </w:r>
    </w:p>
    <w:p>
      <w:pPr>
        <w:pStyle w:val="Corpodetexto"/>
        <w:spacing w:lineRule="auto" w:line="276" w:before="120" w:after="120"/>
        <w:jc w:val="both"/>
        <w:rPr>
          <w:rFonts w:ascii="Arial" w:hAnsi="Arial" w:cs="Arial"/>
          <w:b/>
          <w:b/>
          <w:sz w:val="20"/>
          <w:szCs w:val="20"/>
        </w:rPr>
      </w:pPr>
      <w:r>
        <w:rPr>
          <w:rFonts w:cs="Arial" w:ascii="Arial" w:hAnsi="Arial"/>
          <w:b/>
          <w:sz w:val="20"/>
          <w:szCs w:val="20"/>
        </w:rPr>
      </w:r>
    </w:p>
    <w:p>
      <w:pPr>
        <w:pStyle w:val="Nivel1"/>
        <w:numPr>
          <w:ilvl w:val="0"/>
          <w:numId w:val="14"/>
        </w:numPr>
        <w:rPr>
          <w:rFonts w:ascii="Arial" w:hAnsi="Arial"/>
        </w:rPr>
      </w:pPr>
      <w:r>
        <w:rPr>
          <w:rFonts w:ascii="Arial" w:hAnsi="Arial"/>
          <w:sz w:val="20"/>
          <w:szCs w:val="20"/>
        </w:rPr>
        <w:t>DO JULGAMENTO DAS PROPOSTAS</w:t>
      </w:r>
    </w:p>
    <w:p>
      <w:pPr>
        <w:pStyle w:val="Nivel2"/>
        <w:numPr>
          <w:ilvl w:val="1"/>
          <w:numId w:val="17"/>
        </w:numPr>
        <w:ind w:left="425" w:hanging="0"/>
        <w:rPr>
          <w:rFonts w:ascii="Arial" w:hAnsi="Arial"/>
          <w:sz w:val="20"/>
          <w:szCs w:val="20"/>
        </w:rPr>
      </w:pPr>
      <w:r>
        <w:rPr>
          <w:rFonts w:cs="Arial" w:ascii="Arial" w:hAnsi="Arial"/>
          <w:sz w:val="20"/>
          <w:szCs w:val="20"/>
        </w:rPr>
        <w:t>O critério de julgamento será</w:t>
      </w:r>
      <w:r>
        <w:rPr>
          <w:rFonts w:cs="Arial" w:ascii="Arial" w:hAnsi="Arial"/>
          <w:b w:val="false"/>
          <w:bCs w:val="false"/>
          <w:i w:val="false"/>
          <w:iCs w:val="false"/>
          <w:color w:val="000000"/>
          <w:sz w:val="20"/>
          <w:szCs w:val="20"/>
        </w:rPr>
        <w:t xml:space="preserve"> o </w:t>
      </w:r>
      <w:r>
        <w:rPr>
          <w:rFonts w:cs="Arial" w:ascii="Arial" w:hAnsi="Arial"/>
          <w:b/>
          <w:bCs/>
          <w:i w:val="false"/>
          <w:iCs w:val="false"/>
          <w:color w:val="000000"/>
          <w:sz w:val="20"/>
          <w:szCs w:val="20"/>
        </w:rPr>
        <w:t>menor preço por grupo.</w:t>
      </w:r>
    </w:p>
    <w:p>
      <w:pPr>
        <w:pStyle w:val="Nivel2"/>
        <w:numPr>
          <w:ilvl w:val="1"/>
          <w:numId w:val="17"/>
        </w:numPr>
        <w:ind w:left="425" w:hanging="0"/>
        <w:rPr>
          <w:rFonts w:ascii="Arial" w:hAnsi="Arial" w:cs="Arial"/>
        </w:rPr>
      </w:pPr>
      <w:r>
        <w:rPr>
          <w:rFonts w:cs="Arial" w:ascii="Arial" w:hAnsi="Arial"/>
          <w:b w:val="false"/>
          <w:bCs w:val="false"/>
          <w:i w:val="false"/>
          <w:iCs w:val="false"/>
          <w:color w:val="000000"/>
          <w:sz w:val="20"/>
          <w:szCs w:val="20"/>
        </w:rPr>
        <w:t>Na data da abertura dos envelopes contendo as pro</w:t>
      </w:r>
      <w:r>
        <w:rPr>
          <w:rFonts w:cs="Arial" w:ascii="Arial" w:hAnsi="Arial"/>
          <w:sz w:val="20"/>
          <w:szCs w:val="20"/>
        </w:rPr>
        <w:t>postas, serão rubricados os documentos pelos membros da Comissão de Licitação e pelos representantes legais das entidades licitantes. A Comissão, caso julgue necessário, poderá suspender a reunião para análise das mesmas.</w:t>
      </w:r>
    </w:p>
    <w:p>
      <w:pPr>
        <w:pStyle w:val="Nivel2"/>
        <w:numPr>
          <w:ilvl w:val="1"/>
          <w:numId w:val="17"/>
        </w:numPr>
        <w:ind w:left="425" w:hanging="0"/>
        <w:rPr>
          <w:rFonts w:ascii="Arial" w:hAnsi="Arial" w:cs="Arial"/>
        </w:rPr>
      </w:pPr>
      <w:r>
        <w:rPr>
          <w:rFonts w:cs="Arial" w:ascii="Arial" w:hAnsi="Arial"/>
          <w:sz w:val="20"/>
          <w:szCs w:val="20"/>
        </w:rPr>
        <w:t>A Comissão de Licitação verificará as propostas apresentadas, desclassificando desde logo aquelas que não estejam em conformidade com os requisitos estabelecidos neste Convite.</w:t>
      </w:r>
    </w:p>
    <w:p>
      <w:pPr>
        <w:pStyle w:val="Nivel2"/>
        <w:numPr>
          <w:ilvl w:val="1"/>
          <w:numId w:val="17"/>
        </w:numPr>
        <w:ind w:left="425" w:hanging="0"/>
        <w:rPr>
          <w:rFonts w:ascii="Arial" w:hAnsi="Arial" w:cs="Arial"/>
        </w:rPr>
      </w:pPr>
      <w:r>
        <w:rPr>
          <w:rFonts w:cs="Arial" w:ascii="Arial" w:hAnsi="Arial"/>
          <w:sz w:val="20"/>
          <w:szCs w:val="20"/>
        </w:rPr>
        <w:t>Não será considerada qualquer oferta ou vantagem não prevista neste Convite, para efeito de julgamento da proposta.</w:t>
      </w:r>
    </w:p>
    <w:p>
      <w:pPr>
        <w:pStyle w:val="Nivel2"/>
        <w:numPr>
          <w:ilvl w:val="1"/>
          <w:numId w:val="17"/>
        </w:numPr>
        <w:ind w:left="425" w:hanging="0"/>
        <w:rPr>
          <w:rFonts w:ascii="Arial" w:hAnsi="Arial" w:cs="Arial"/>
        </w:rPr>
      </w:pPr>
      <w:r>
        <w:rPr>
          <w:rFonts w:cs="Arial" w:ascii="Arial" w:hAnsi="Arial"/>
          <w:sz w:val="20"/>
          <w:szCs w:val="20"/>
        </w:rPr>
        <w:t xml:space="preserve">As propostas serão classificadas em ordem crescente de preços propostos. </w:t>
      </w:r>
    </w:p>
    <w:p>
      <w:pPr>
        <w:pStyle w:val="Nivel2"/>
        <w:numPr>
          <w:ilvl w:val="1"/>
          <w:numId w:val="17"/>
        </w:numPr>
        <w:ind w:left="425" w:hanging="0"/>
        <w:rPr>
          <w:rFonts w:ascii="Arial" w:hAnsi="Arial"/>
          <w:sz w:val="20"/>
          <w:szCs w:val="20"/>
        </w:rPr>
      </w:pPr>
      <w:r>
        <w:rPr>
          <w:rFonts w:cs="Arial" w:ascii="Arial" w:hAnsi="Arial"/>
          <w:sz w:val="20"/>
          <w:szCs w:val="20"/>
        </w:rPr>
        <w:t xml:space="preserve">A Comissão de Licitação verificará o porte das empresas licitantes classificadas. Havendo </w:t>
      </w:r>
      <w:r>
        <w:rPr>
          <w:rFonts w:eastAsia="Zurich BT" w:cs="Arial" w:ascii="Arial" w:hAnsi="Arial"/>
          <w:bCs/>
          <w:sz w:val="20"/>
          <w:szCs w:val="20"/>
        </w:rPr>
        <w:t>microempresas, empresas de pequeno porte, proceder-se-á à comparação com os valores da primeira colocada, se esta for empresa de maior porte, para o fim de aplicar-se o disposto nos arts. 44 e 45 da LC nº 123, de 2006, regulamentada pelo Decreto nº 8.538, de 2015.</w:t>
      </w:r>
    </w:p>
    <w:p>
      <w:pPr>
        <w:pStyle w:val="Nivel3"/>
        <w:numPr>
          <w:ilvl w:val="2"/>
          <w:numId w:val="17"/>
        </w:numPr>
        <w:ind w:left="1134" w:hanging="0"/>
        <w:rPr>
          <w:rFonts w:ascii="Arial" w:hAnsi="Arial"/>
          <w:sz w:val="20"/>
          <w:szCs w:val="20"/>
        </w:rPr>
      </w:pPr>
      <w:r>
        <w:rPr>
          <w:rFonts w:ascii="Arial" w:hAnsi="Arial"/>
          <w:sz w:val="20"/>
          <w:szCs w:val="20"/>
        </w:rPr>
        <w:t xml:space="preserve">Nessas condições, as propostas de </w:t>
      </w:r>
      <w:r>
        <w:rPr>
          <w:rFonts w:eastAsia="Zurich BT" w:ascii="Arial" w:hAnsi="Arial"/>
          <w:bCs/>
          <w:sz w:val="20"/>
          <w:szCs w:val="20"/>
        </w:rPr>
        <w:t>microempresas, empresas de pequeno porte</w:t>
      </w:r>
      <w:r>
        <w:rPr>
          <w:rFonts w:ascii="Arial" w:hAnsi="Arial"/>
          <w:sz w:val="20"/>
          <w:szCs w:val="20"/>
        </w:rPr>
        <w:t xml:space="preserve"> que se encontrarem na faixa de até 10% (dez por cento) acima da proposta de menor preço serão consideradas empatadas com a primeira colocada.</w:t>
      </w:r>
    </w:p>
    <w:p>
      <w:pPr>
        <w:pStyle w:val="Nivel3"/>
        <w:numPr>
          <w:ilvl w:val="2"/>
          <w:numId w:val="17"/>
        </w:numPr>
        <w:ind w:left="1134" w:hanging="0"/>
        <w:rPr>
          <w:rFonts w:ascii="Arial" w:hAnsi="Arial"/>
          <w:sz w:val="20"/>
          <w:szCs w:val="20"/>
        </w:rPr>
      </w:pPr>
      <w:r>
        <w:rPr>
          <w:rFonts w:ascii="Arial" w:hAnsi="Arial"/>
          <w:sz w:val="20"/>
          <w:szCs w:val="20"/>
        </w:rPr>
        <w:t>A melhor classificada nos termos do item anterior terá o direito de encaminhar uma última oferta para desempate, obrigatoriamente em valor inferior ao da primeira colocada, no prazo de 30 (trinta) minutos, caso esteja presente na sessão ou no prazo de 1 (um) dia, contados da comunicação da Comissão de Licitação, na hipótese de ausência. Neste caso, a oferta deverá ser escrita e assinada para posterior inclusão nos autos do processo licitatório.</w:t>
      </w:r>
    </w:p>
    <w:p>
      <w:pPr>
        <w:pStyle w:val="Nivel3"/>
        <w:numPr>
          <w:ilvl w:val="2"/>
          <w:numId w:val="17"/>
        </w:numPr>
        <w:ind w:left="1134" w:hanging="0"/>
        <w:rPr>
          <w:rFonts w:ascii="Arial" w:hAnsi="Arial"/>
          <w:sz w:val="20"/>
          <w:szCs w:val="20"/>
        </w:rPr>
      </w:pPr>
      <w:r>
        <w:rPr>
          <w:rFonts w:ascii="Arial" w:hAnsi="Arial"/>
          <w:sz w:val="20"/>
          <w:szCs w:val="20"/>
        </w:rPr>
        <w:t xml:space="preserve">Caso a </w:t>
      </w:r>
      <w:r>
        <w:rPr>
          <w:rFonts w:eastAsia="Zurich BT" w:ascii="Arial" w:hAnsi="Arial"/>
          <w:bCs/>
          <w:sz w:val="20"/>
          <w:szCs w:val="20"/>
        </w:rPr>
        <w:t xml:space="preserve">microempresa, empresa de pequeno porte ou sociedade cooperativa </w:t>
      </w:r>
      <w:r>
        <w:rPr>
          <w:rFonts w:ascii="Arial" w:hAnsi="Arial"/>
          <w:sz w:val="20"/>
          <w:szCs w:val="20"/>
        </w:rPr>
        <w:t xml:space="preserve">melhor classificada desista ou não se manifeste no prazo estabelecido, serão convocadas as demais licitantes </w:t>
      </w:r>
      <w:r>
        <w:rPr>
          <w:rFonts w:eastAsia="Zurich BT" w:ascii="Arial" w:hAnsi="Arial"/>
          <w:bCs/>
          <w:sz w:val="20"/>
          <w:szCs w:val="20"/>
        </w:rPr>
        <w:t xml:space="preserve">microempresas, empresas de pequeno porte </w:t>
      </w:r>
      <w:r>
        <w:rPr>
          <w:rFonts w:ascii="Arial" w:hAnsi="Arial"/>
          <w:sz w:val="20"/>
          <w:szCs w:val="20"/>
        </w:rPr>
        <w:t>que se encontrem naquele intervalo de 10% (dez por cento), na ordem de classificação, para o exercício do mesmo direito, nos mesmos prazos estabelecidos no subitem anterior.</w:t>
      </w:r>
    </w:p>
    <w:p>
      <w:pPr>
        <w:pStyle w:val="Nivel2"/>
        <w:numPr>
          <w:ilvl w:val="1"/>
          <w:numId w:val="17"/>
        </w:numPr>
        <w:ind w:left="425" w:hanging="0"/>
        <w:rPr>
          <w:rFonts w:ascii="Arial" w:hAnsi="Arial" w:cs="Arial"/>
        </w:rPr>
      </w:pPr>
      <w:r>
        <w:rPr>
          <w:rFonts w:cs="Arial" w:ascii="Arial" w:hAnsi="Arial"/>
          <w:sz w:val="20"/>
          <w:szCs w:val="20"/>
        </w:rPr>
        <w:t>Caso sejam identificadas propostas de preços idênticos de microempresa, empresa de pequeno porte ou sociedade cooperativa empatadas na faixa de até 10% (dez por cento) sobre o valor cotado pela primeira colocada, a Comissão de Licitação convocará os licitantes para que compareçam ao sorteio na data e horário estipulados, para que se identifique aquela que primeiro poderá reduzir a oferta.</w:t>
      </w:r>
    </w:p>
    <w:p>
      <w:pPr>
        <w:pStyle w:val="Nivel2"/>
        <w:numPr>
          <w:ilvl w:val="1"/>
          <w:numId w:val="17"/>
        </w:numPr>
        <w:ind w:left="425" w:hanging="0"/>
        <w:rPr>
          <w:rFonts w:ascii="Arial" w:hAnsi="Arial" w:cs="Arial"/>
        </w:rPr>
      </w:pPr>
      <w:r>
        <w:rPr>
          <w:rFonts w:cs="Arial" w:ascii="Arial" w:hAnsi="Arial"/>
          <w:sz w:val="20"/>
          <w:szCs w:val="20"/>
        </w:rPr>
        <w:t xml:space="preserve"> </w:t>
      </w:r>
      <w:r>
        <w:rPr>
          <w:rFonts w:cs="Arial" w:ascii="Arial" w:hAnsi="Arial"/>
          <w:sz w:val="20"/>
          <w:szCs w:val="20"/>
        </w:rPr>
        <w:t>Havendo êxito no procedimento de desempate, será elaborada a nova classificação das propostas para fins de aceitação do valor ofertado. Não sendo aplicável o procedimento, ou não havendo êxito na aplicação deste, prevalecerá a classificação inicial.</w:t>
      </w:r>
    </w:p>
    <w:p>
      <w:pPr>
        <w:pStyle w:val="Nivel2"/>
        <w:numPr>
          <w:ilvl w:val="1"/>
          <w:numId w:val="17"/>
        </w:numPr>
        <w:ind w:left="425" w:hanging="0"/>
        <w:rPr>
          <w:rFonts w:ascii="Arial" w:hAnsi="Arial" w:cs="Arial"/>
          <w:color w:val="000000"/>
        </w:rPr>
      </w:pPr>
      <w:r>
        <w:rPr>
          <w:rFonts w:cs="Arial" w:ascii="Arial" w:hAnsi="Arial"/>
          <w:color w:val="000000"/>
          <w:sz w:val="20"/>
          <w:szCs w:val="20"/>
        </w:rPr>
        <w:t>Persistindo o empate, será assegurada preferência, sucessivamente, aos bens e serviços:</w:t>
      </w:r>
    </w:p>
    <w:p>
      <w:pPr>
        <w:pStyle w:val="Nivel3"/>
        <w:numPr>
          <w:ilvl w:val="2"/>
          <w:numId w:val="17"/>
        </w:numPr>
        <w:ind w:left="1134" w:hanging="0"/>
        <w:rPr>
          <w:rFonts w:ascii="Arial" w:hAnsi="Arial"/>
        </w:rPr>
      </w:pPr>
      <w:r>
        <w:rPr>
          <w:rFonts w:ascii="Arial" w:hAnsi="Arial"/>
          <w:sz w:val="20"/>
          <w:szCs w:val="20"/>
        </w:rPr>
        <w:t xml:space="preserve">produzidos no País; </w:t>
      </w:r>
    </w:p>
    <w:p>
      <w:pPr>
        <w:pStyle w:val="Nivel3"/>
        <w:numPr>
          <w:ilvl w:val="2"/>
          <w:numId w:val="17"/>
        </w:numPr>
        <w:ind w:left="1134" w:hanging="0"/>
        <w:rPr>
          <w:rFonts w:ascii="Arial" w:hAnsi="Arial"/>
        </w:rPr>
      </w:pPr>
      <w:r>
        <w:rPr>
          <w:rFonts w:ascii="Arial" w:hAnsi="Arial"/>
          <w:sz w:val="20"/>
          <w:szCs w:val="20"/>
        </w:rPr>
        <w:t>produzidos ou prestados por empresas brasileiras;</w:t>
      </w:r>
    </w:p>
    <w:p>
      <w:pPr>
        <w:pStyle w:val="Nivel3"/>
        <w:numPr>
          <w:ilvl w:val="2"/>
          <w:numId w:val="17"/>
        </w:numPr>
        <w:ind w:left="1134" w:hanging="0"/>
        <w:rPr>
          <w:rFonts w:ascii="Arial" w:hAnsi="Arial"/>
        </w:rPr>
      </w:pPr>
      <w:r>
        <w:rPr>
          <w:rFonts w:ascii="Arial" w:hAnsi="Arial"/>
          <w:sz w:val="20"/>
          <w:szCs w:val="20"/>
        </w:rPr>
        <w:t>produzidos ou prestados por empresas que invistam em pesquisa e no desenvolvimento de tecnologia no País;</w:t>
      </w:r>
    </w:p>
    <w:p>
      <w:pPr>
        <w:pStyle w:val="Nivel3"/>
        <w:numPr>
          <w:ilvl w:val="2"/>
          <w:numId w:val="17"/>
        </w:numPr>
        <w:ind w:left="1134" w:hanging="0"/>
        <w:rPr>
          <w:rFonts w:ascii="Arial" w:hAnsi="Arial"/>
        </w:rPr>
      </w:pPr>
      <w:r>
        <w:rPr>
          <w:rFonts w:ascii="Arial" w:hAnsi="Arial"/>
          <w:sz w:val="20"/>
          <w:szCs w:val="20"/>
        </w:rPr>
        <w:t>produzidos ou prestados por empresas que comprovem cumprimento de reserva de cargos prevista em lei para pessoa com deficiência ou para reabilitado da Previdência Social e que atendam às regras de acessibilidade previstas na legislação.</w:t>
      </w:r>
    </w:p>
    <w:p>
      <w:pPr>
        <w:pStyle w:val="Nivel2"/>
        <w:numPr>
          <w:ilvl w:val="1"/>
          <w:numId w:val="17"/>
        </w:numPr>
        <w:ind w:left="425" w:hanging="0"/>
        <w:rPr>
          <w:rFonts w:ascii="Arial" w:hAnsi="Arial" w:cs="Arial"/>
        </w:rPr>
      </w:pPr>
      <w:r>
        <w:rPr>
          <w:rFonts w:cs="Arial" w:ascii="Arial" w:hAnsi="Arial"/>
          <w:sz w:val="20"/>
          <w:szCs w:val="20"/>
        </w:rPr>
        <w:t xml:space="preserve">Esgotados todos os demais critérios de desempate previstos em lei, a escolha do licitante vencedor ocorrerá por meio de sorteio, para o qual os licitantes habilitados serão convocados. </w:t>
      </w:r>
    </w:p>
    <w:p>
      <w:pPr>
        <w:pStyle w:val="Nivel2"/>
        <w:numPr>
          <w:ilvl w:val="1"/>
          <w:numId w:val="17"/>
        </w:numPr>
        <w:ind w:left="425" w:hanging="0"/>
        <w:rPr>
          <w:rFonts w:ascii="Arial" w:hAnsi="Arial" w:cs="Arial"/>
        </w:rPr>
      </w:pPr>
      <w:r>
        <w:rPr>
          <w:rFonts w:cs="Arial" w:ascii="Arial" w:hAnsi="Arial"/>
          <w:sz w:val="20"/>
          <w:szCs w:val="20"/>
        </w:rPr>
        <w:t xml:space="preserve">Quando todos os licitantes forem desclassificados, a Comissão de Licitação poderá fixar o prazo de 3 (três) dias úteis para a apresentação de novas propostas, escoimadas das causas de desclassificação. </w:t>
      </w:r>
    </w:p>
    <w:p>
      <w:pPr>
        <w:pStyle w:val="Corpodetexto"/>
        <w:numPr>
          <w:ilvl w:val="1"/>
          <w:numId w:val="17"/>
        </w:numPr>
        <w:spacing w:lineRule="auto" w:line="276" w:before="120" w:after="120"/>
        <w:jc w:val="both"/>
        <w:rPr>
          <w:rFonts w:ascii="Arial" w:hAnsi="Arial" w:cs="Arial"/>
          <w:color w:val="000000"/>
          <w:sz w:val="20"/>
        </w:rPr>
      </w:pPr>
      <w:r>
        <w:rPr>
          <w:rFonts w:cs="Arial" w:ascii="Arial" w:hAnsi="Arial"/>
          <w:sz w:val="20"/>
          <w:szCs w:val="20"/>
        </w:rPr>
        <w:t>Será desclassificada a proposta que:</w:t>
      </w:r>
    </w:p>
    <w:p>
      <w:pPr>
        <w:pStyle w:val="Normal"/>
        <w:numPr>
          <w:ilvl w:val="2"/>
          <w:numId w:val="17"/>
        </w:numPr>
        <w:spacing w:lineRule="auto" w:line="276" w:before="120" w:after="120"/>
        <w:jc w:val="both"/>
        <w:rPr>
          <w:rFonts w:ascii="Arial" w:hAnsi="Arial" w:cs="Arial"/>
          <w:sz w:val="20"/>
        </w:rPr>
      </w:pPr>
      <w:r>
        <w:rPr>
          <w:rFonts w:cs="Arial" w:ascii="Arial" w:hAnsi="Arial"/>
          <w:sz w:val="20"/>
          <w:szCs w:val="20"/>
        </w:rPr>
        <w:t>não estiver em conformidade com os requisitos estabelecidos neste edital;</w:t>
      </w:r>
    </w:p>
    <w:p>
      <w:pPr>
        <w:pStyle w:val="Normal"/>
        <w:numPr>
          <w:ilvl w:val="2"/>
          <w:numId w:val="17"/>
        </w:numPr>
        <w:spacing w:lineRule="auto" w:line="276" w:before="120" w:after="120"/>
        <w:jc w:val="both"/>
        <w:rPr>
          <w:rFonts w:ascii="Arial" w:hAnsi="Arial" w:cs="Arial"/>
          <w:sz w:val="20"/>
        </w:rPr>
      </w:pPr>
      <w:r>
        <w:rPr>
          <w:rFonts w:cs="Arial" w:ascii="Arial" w:hAnsi="Arial"/>
          <w:sz w:val="20"/>
          <w:szCs w:val="20"/>
        </w:rPr>
        <w:t>contiver vício insanável ou ilegalidade;</w:t>
      </w:r>
    </w:p>
    <w:p>
      <w:pPr>
        <w:pStyle w:val="Normal"/>
        <w:numPr>
          <w:ilvl w:val="2"/>
          <w:numId w:val="17"/>
        </w:numPr>
        <w:spacing w:lineRule="auto" w:line="276" w:before="120" w:after="120"/>
        <w:jc w:val="both"/>
        <w:rPr>
          <w:rFonts w:ascii="Arial" w:hAnsi="Arial"/>
          <w:sz w:val="20"/>
          <w:szCs w:val="20"/>
        </w:rPr>
      </w:pPr>
      <w:r>
        <w:rPr>
          <w:rFonts w:cs="Arial" w:ascii="Arial" w:hAnsi="Arial"/>
          <w:sz w:val="20"/>
          <w:szCs w:val="20"/>
        </w:rPr>
        <w:t>não apresentar as especificações técnicas exigidas no projeto básico ou anexos;</w:t>
      </w:r>
    </w:p>
    <w:p>
      <w:pPr>
        <w:pStyle w:val="PADRO"/>
        <w:keepNext/>
        <w:widowControl/>
        <w:numPr>
          <w:ilvl w:val="2"/>
          <w:numId w:val="17"/>
        </w:numPr>
        <w:shd w:val="clear" w:color="auto" w:fill="auto"/>
        <w:spacing w:before="120" w:after="120"/>
        <w:rPr>
          <w:rFonts w:ascii="Arial" w:hAnsi="Arial"/>
          <w:sz w:val="20"/>
          <w:szCs w:val="20"/>
        </w:rPr>
      </w:pPr>
      <w:r>
        <w:rPr>
          <w:rFonts w:cs="Arial" w:ascii="Arial" w:hAnsi="Arial"/>
          <w:sz w:val="20"/>
          <w:szCs w:val="20"/>
        </w:rPr>
        <w:t>O exame da inexequibilidade observará a fórmula prevista no art. 48, §§ 1º e 2º da Lei nº 8.666, de 1993.</w:t>
      </w:r>
    </w:p>
    <w:p>
      <w:pPr>
        <w:pStyle w:val="PADRO"/>
        <w:keepNext/>
        <w:widowControl/>
        <w:numPr>
          <w:ilvl w:val="2"/>
          <w:numId w:val="17"/>
        </w:numPr>
        <w:shd w:val="clear" w:color="auto" w:fill="auto"/>
        <w:spacing w:before="120" w:after="120"/>
        <w:rPr>
          <w:rFonts w:ascii="Arial" w:hAnsi="Arial" w:cs="Arial"/>
          <w:szCs w:val="20"/>
        </w:rPr>
      </w:pPr>
      <w:r>
        <w:rPr>
          <w:rFonts w:cs="Arial" w:ascii="Arial" w:hAnsi="Arial"/>
          <w:color w:val="000000"/>
          <w:sz w:val="20"/>
          <w:szCs w:val="20"/>
        </w:rPr>
        <w:t>Se houver indícios de inexequibilidade da proposta de preço, ou em caso da necessidade de esclarecimentos complementares, poderão ser efetuadas diligências, na forma do § 3° do artigo 43 da Lei n° 8.666, de 1993, a exemplo das enumeradas no subitem 9.4 do Anexo VII-A da IN SEGES/MP nº 5, de 2017</w:t>
      </w:r>
      <w:r>
        <w:rPr>
          <w:rFonts w:eastAsia="Times New Roman" w:cs="Arial" w:ascii="Arial" w:hAnsi="Arial"/>
          <w:color w:val="000000"/>
          <w:sz w:val="20"/>
          <w:szCs w:val="20"/>
        </w:rPr>
        <w:t xml:space="preserve">, </w:t>
      </w:r>
      <w:r>
        <w:rPr>
          <w:rFonts w:cs="Arial" w:ascii="Arial" w:hAnsi="Arial"/>
          <w:sz w:val="20"/>
          <w:szCs w:val="20"/>
        </w:rPr>
        <w:t>para que a empresa comprove a exequibilidade da proposta</w:t>
      </w:r>
      <w:r>
        <w:rPr>
          <w:rFonts w:eastAsia="Arial" w:cs="Arial" w:ascii="Arial" w:hAnsi="Arial"/>
          <w:color w:val="000000"/>
          <w:sz w:val="20"/>
          <w:szCs w:val="20"/>
        </w:rPr>
        <w:t>.</w:t>
      </w:r>
    </w:p>
    <w:p>
      <w:pPr>
        <w:pStyle w:val="PADRO"/>
        <w:keepNext/>
        <w:widowControl/>
        <w:numPr>
          <w:ilvl w:val="2"/>
          <w:numId w:val="17"/>
        </w:numPr>
        <w:shd w:val="clear" w:color="auto" w:fill="auto"/>
        <w:spacing w:before="120" w:after="120"/>
        <w:rPr>
          <w:rFonts w:ascii="Arial" w:hAnsi="Arial" w:cs="Arial"/>
          <w:szCs w:val="20"/>
        </w:rPr>
      </w:pPr>
      <w:r>
        <w:rPr>
          <w:rFonts w:cs="Arial" w:ascii="Arial" w:hAnsi="Arial"/>
          <w:color w:val="000000"/>
          <w:sz w:val="20"/>
          <w:szCs w:val="20"/>
        </w:rPr>
        <w:t>Quando o licitante apresentar preço final inferior a 30% (trinta por cento) da média dos preços ofertados para o mesmo item, não sendo possível a sua imediata desclassificação por inexequibilidade, será obrigatória a realização de diligências para o exame da proposta.</w:t>
      </w:r>
    </w:p>
    <w:p>
      <w:pPr>
        <w:pStyle w:val="PADRO"/>
        <w:keepNext/>
        <w:widowControl/>
        <w:numPr>
          <w:ilvl w:val="2"/>
          <w:numId w:val="17"/>
        </w:numPr>
        <w:shd w:val="clear" w:color="auto" w:fill="auto"/>
        <w:spacing w:before="120" w:after="120"/>
        <w:rPr>
          <w:rFonts w:ascii="Arial" w:hAnsi="Arial"/>
          <w:sz w:val="20"/>
          <w:szCs w:val="20"/>
        </w:rPr>
      </w:pPr>
      <w:r>
        <w:rPr>
          <w:rFonts w:cs="Arial" w:ascii="Arial" w:hAnsi="Arial"/>
          <w:color w:val="000000"/>
          <w:sz w:val="20"/>
          <w:szCs w:val="20"/>
        </w:rPr>
        <w:t>Qualquer interessado poderá requerer que se realizem diligências para aferir a exequibilidade e a legalidade das propostas, devendo apresentar as provas ou os indícios que fundamentam a suspeita.</w:t>
      </w:r>
    </w:p>
    <w:p>
      <w:pPr>
        <w:pStyle w:val="ListParagraph"/>
        <w:numPr>
          <w:ilvl w:val="2"/>
          <w:numId w:val="17"/>
        </w:numPr>
        <w:spacing w:lineRule="auto" w:line="276" w:before="120" w:after="120"/>
        <w:contextualSpacing/>
        <w:jc w:val="both"/>
        <w:rPr>
          <w:rFonts w:ascii="Arial" w:hAnsi="Arial"/>
          <w:sz w:val="20"/>
          <w:szCs w:val="20"/>
        </w:rPr>
      </w:pPr>
      <w:r>
        <w:rPr>
          <w:rFonts w:cs="Arial" w:ascii="Arial" w:hAnsi="Arial"/>
          <w:sz w:val="20"/>
          <w:szCs w:val="20"/>
        </w:rPr>
        <w:t xml:space="preserve">Será facultado ao licitante o prazo de 1 (um) </w:t>
      </w:r>
      <w:r>
        <w:rPr>
          <w:rFonts w:cs="Arial" w:ascii="Arial" w:hAnsi="Arial"/>
          <w:color w:val="000000"/>
          <w:sz w:val="20"/>
          <w:szCs w:val="20"/>
        </w:rPr>
        <w:t>dias úteis</w:t>
      </w:r>
      <w:r>
        <w:rPr>
          <w:rFonts w:cs="Arial" w:ascii="Arial" w:hAnsi="Arial"/>
          <w:sz w:val="20"/>
          <w:szCs w:val="20"/>
        </w:rPr>
        <w:t xml:space="preserve"> para comprovar a viabilidade dos preços constantes em sua proposta, conforme parâmetros do artigo 48, inciso II, da Lei n° 8.666, de 1993, sob pena de desclassificação.</w:t>
      </w:r>
    </w:p>
    <w:p>
      <w:pPr>
        <w:pStyle w:val="Corpodetexto"/>
        <w:numPr>
          <w:ilvl w:val="1"/>
          <w:numId w:val="17"/>
        </w:numPr>
        <w:spacing w:lineRule="auto" w:line="276" w:before="120" w:after="120"/>
        <w:jc w:val="both"/>
        <w:rPr>
          <w:rFonts w:ascii="Arial" w:hAnsi="Arial"/>
          <w:sz w:val="20"/>
          <w:szCs w:val="20"/>
        </w:rPr>
      </w:pPr>
      <w:r>
        <w:rPr>
          <w:rFonts w:cs="Arial" w:ascii="Arial" w:hAnsi="Arial"/>
          <w:sz w:val="20"/>
          <w:szCs w:val="20"/>
        </w:rPr>
        <w:t>Erros formais no preenchimento da planilha não são motivo suficiente para a desclassificação da proposta, quando a planilha puder ser ajustada sem a necessidade de majoração do preço ofertado, atendidas as demais condições de aceitabilidade.</w:t>
      </w:r>
    </w:p>
    <w:p>
      <w:pPr>
        <w:pStyle w:val="Corpodetexto"/>
        <w:numPr>
          <w:ilvl w:val="1"/>
          <w:numId w:val="17"/>
        </w:numPr>
        <w:spacing w:lineRule="auto" w:line="276" w:before="120" w:after="120"/>
        <w:jc w:val="both"/>
        <w:rPr>
          <w:rFonts w:ascii="Arial" w:hAnsi="Arial" w:cs="Arial"/>
          <w:sz w:val="20"/>
        </w:rPr>
      </w:pPr>
      <w:r>
        <w:rPr>
          <w:rFonts w:cs="Arial" w:ascii="Arial" w:hAnsi="Arial"/>
          <w:sz w:val="20"/>
          <w:szCs w:val="20"/>
        </w:rPr>
        <w:t>Em nenhuma hipótese poderá ser alterado o teor da proposta apresentada, seja quanto ao preço ou quaisquer outras condições que importem em modificações de seus termos originais, ressalvadas apenas as alterações absolutamente formais, destinadas a sanar evidentes erros materiais, sem nenhuma alteração do conteúdo e das condições referidas, desde que não venham a causar prejuízos aos demais licitantes.</w:t>
      </w:r>
    </w:p>
    <w:p>
      <w:pPr>
        <w:pStyle w:val="Corpodetexto"/>
        <w:numPr>
          <w:ilvl w:val="1"/>
          <w:numId w:val="17"/>
        </w:numPr>
        <w:spacing w:lineRule="auto" w:line="276" w:before="120" w:after="120"/>
        <w:jc w:val="both"/>
        <w:rPr>
          <w:rFonts w:ascii="Arial" w:hAnsi="Arial" w:cs="Arial"/>
          <w:sz w:val="20"/>
        </w:rPr>
      </w:pPr>
      <w:r>
        <w:rPr>
          <w:rFonts w:cs="Arial" w:ascii="Arial" w:hAnsi="Arial"/>
          <w:sz w:val="20"/>
          <w:szCs w:val="20"/>
        </w:rPr>
        <w:t>Se a proposta de preço não for aceitável, a Comissão de Licitação examinará a proposta subsequente, e, assim sucessivamente, na ordem de classificação.</w:t>
      </w:r>
    </w:p>
    <w:p>
      <w:pPr>
        <w:pStyle w:val="Corpodetexto"/>
        <w:numPr>
          <w:ilvl w:val="1"/>
          <w:numId w:val="17"/>
        </w:numPr>
        <w:spacing w:lineRule="auto" w:line="276" w:before="120" w:after="120"/>
        <w:jc w:val="both"/>
        <w:rPr>
          <w:rFonts w:ascii="Arial" w:hAnsi="Arial" w:cs="Arial"/>
          <w:sz w:val="20"/>
        </w:rPr>
      </w:pPr>
      <w:r>
        <w:rPr>
          <w:rFonts w:cs="Arial" w:ascii="Arial" w:hAnsi="Arial"/>
          <w:sz w:val="20"/>
          <w:szCs w:val="20"/>
        </w:rPr>
        <w:t>Sempre que a proposta não for aceita, e antes de a Comissão de Licitação passar à subsequente, haverá nova verificação da eventual ocorrência do empate ficto, previsto nos artigos 44 e 45 da LC nº 123, de 2006, seguindo-se a disciplina antes estabelecida, se for o caso.</w:t>
      </w:r>
    </w:p>
    <w:p>
      <w:pPr>
        <w:pStyle w:val="Corpodetexto"/>
        <w:numPr>
          <w:ilvl w:val="1"/>
          <w:numId w:val="17"/>
        </w:numPr>
        <w:spacing w:lineRule="auto" w:line="276" w:before="120" w:after="120"/>
        <w:jc w:val="both"/>
        <w:rPr>
          <w:rFonts w:ascii="Arial" w:hAnsi="Arial" w:cs="Arial"/>
          <w:sz w:val="20"/>
        </w:rPr>
      </w:pPr>
      <w:r>
        <w:rPr>
          <w:rFonts w:cs="Arial" w:ascii="Arial" w:hAnsi="Arial"/>
          <w:sz w:val="20"/>
          <w:szCs w:val="20"/>
        </w:rPr>
        <w:t>Do julgamento das propostas e da classificação, será dada ciência aos licitantes para apresentação de recurso no prazo de 5 (cinco) dias úteis. Interposto o recurso, será comunicado aos demais licitantes, que poderão impugná-lo no mesmo prazo.</w:t>
      </w:r>
    </w:p>
    <w:p>
      <w:pPr>
        <w:pStyle w:val="Corpodetexto"/>
        <w:numPr>
          <w:ilvl w:val="1"/>
          <w:numId w:val="17"/>
        </w:numPr>
        <w:spacing w:lineRule="auto" w:line="276" w:before="120" w:after="120"/>
        <w:jc w:val="both"/>
        <w:rPr>
          <w:rFonts w:ascii="Arial" w:hAnsi="Arial" w:cs="Arial"/>
          <w:sz w:val="20"/>
        </w:rPr>
      </w:pPr>
      <w:r>
        <w:rPr>
          <w:rFonts w:cs="Arial" w:ascii="Arial" w:hAnsi="Arial"/>
          <w:sz w:val="20"/>
          <w:szCs w:val="20"/>
        </w:rPr>
        <w:t>Transcorrido o prazo recursal, sem interposição de recurso, ou decididos os recursos interpostos, a Comissão de Licitação encaminhará o procedimento licitatório para homologação do resultado do certame pela autoridade competente e, após, adjudicação do objeto licitado ao licitante vencedor.</w:t>
      </w:r>
    </w:p>
    <w:p>
      <w:pPr>
        <w:pStyle w:val="Corpodetexto"/>
        <w:numPr>
          <w:ilvl w:val="1"/>
          <w:numId w:val="17"/>
        </w:numPr>
        <w:spacing w:lineRule="auto" w:line="276" w:before="120" w:after="120"/>
        <w:jc w:val="both"/>
        <w:rPr>
          <w:rFonts w:ascii="Arial" w:hAnsi="Arial" w:cs="Arial"/>
          <w:sz w:val="20"/>
        </w:rPr>
      </w:pPr>
      <w:r>
        <w:rPr>
          <w:rFonts w:cs="Arial" w:ascii="Arial" w:hAnsi="Arial"/>
          <w:sz w:val="20"/>
          <w:szCs w:val="20"/>
        </w:rPr>
        <w:t>A intimação do resultado final do julgamento das propostas será feita mediante publicação na imprensa oficial, salvo se presentes os prepostos dos licitantes no ato público em que foi adotada a decisão, caso em que a intimação será feita por comunicação direta aos interessados e lavrada em ata.</w:t>
      </w:r>
    </w:p>
    <w:p>
      <w:pPr>
        <w:pStyle w:val="Corpodetexto"/>
        <w:numPr>
          <w:ilvl w:val="1"/>
          <w:numId w:val="17"/>
        </w:numPr>
        <w:spacing w:lineRule="auto" w:line="276" w:before="120" w:after="120"/>
        <w:jc w:val="both"/>
        <w:rPr/>
      </w:pPr>
      <w:r>
        <w:rPr>
          <w:rFonts w:cs="Arial" w:ascii="Arial" w:hAnsi="Arial"/>
          <w:sz w:val="20"/>
          <w:szCs w:val="20"/>
        </w:rPr>
        <w:t xml:space="preserve">O resultado do certame será divulgado no site: </w:t>
      </w:r>
      <w:hyperlink r:id="rId4">
        <w:r>
          <w:rPr>
            <w:rStyle w:val="LinkdaInternet"/>
            <w:rFonts w:cs="Arial" w:ascii="Arial" w:hAnsi="Arial"/>
            <w:sz w:val="20"/>
            <w:szCs w:val="20"/>
          </w:rPr>
          <w:t>www.comprasgovernamentais.gov.br</w:t>
        </w:r>
      </w:hyperlink>
      <w:r>
        <w:rPr>
          <w:rFonts w:cs="Arial" w:ascii="Arial" w:hAnsi="Arial"/>
          <w:sz w:val="20"/>
          <w:szCs w:val="20"/>
        </w:rPr>
        <w:t xml:space="preserve"> e </w:t>
      </w:r>
      <w:r>
        <w:rPr>
          <w:rFonts w:cs="Arial" w:ascii="Arial" w:hAnsi="Arial"/>
          <w:color w:val="0000FF"/>
          <w:sz w:val="20"/>
          <w:szCs w:val="20"/>
        </w:rPr>
        <w:t>www.camaqua.ifsul.edu.br</w:t>
      </w:r>
    </w:p>
    <w:p>
      <w:pPr>
        <w:pStyle w:val="Normal"/>
        <w:shd w:val="clear" w:color="auto" w:fill="FFFFFF"/>
        <w:spacing w:before="120" w:after="120"/>
        <w:jc w:val="both"/>
        <w:rPr>
          <w:rFonts w:ascii="Arial" w:hAnsi="Arial" w:cs="Arial"/>
          <w:sz w:val="20"/>
          <w:szCs w:val="20"/>
        </w:rPr>
      </w:pPr>
      <w:r>
        <w:rPr>
          <w:rFonts w:cs="Arial" w:ascii="Arial" w:hAnsi="Arial"/>
          <w:sz w:val="20"/>
          <w:szCs w:val="20"/>
        </w:rPr>
      </w:r>
    </w:p>
    <w:p>
      <w:pPr>
        <w:pStyle w:val="Nivel1"/>
        <w:numPr>
          <w:ilvl w:val="0"/>
          <w:numId w:val="17"/>
        </w:numPr>
        <w:ind w:left="0" w:hanging="0"/>
        <w:rPr>
          <w:rFonts w:ascii="Arial" w:hAnsi="Arial"/>
        </w:rPr>
      </w:pPr>
      <w:r>
        <w:rPr>
          <w:rFonts w:ascii="Arial" w:hAnsi="Arial"/>
          <w:sz w:val="20"/>
          <w:szCs w:val="20"/>
        </w:rPr>
        <w:t>DOS RECURSOS ADMINISTRATIVOS</w:t>
      </w:r>
    </w:p>
    <w:p>
      <w:pPr>
        <w:pStyle w:val="Nivel2"/>
        <w:numPr>
          <w:ilvl w:val="1"/>
          <w:numId w:val="17"/>
        </w:numPr>
        <w:ind w:left="425" w:hanging="0"/>
        <w:rPr>
          <w:rFonts w:ascii="Arial" w:hAnsi="Arial" w:cs="Arial"/>
        </w:rPr>
      </w:pPr>
      <w:r>
        <w:rPr>
          <w:rFonts w:cs="Arial" w:ascii="Arial" w:hAnsi="Arial"/>
          <w:sz w:val="20"/>
          <w:szCs w:val="20"/>
        </w:rPr>
        <w:t>A interposição de recurso referente à habilitação ou inabilitação de licitantes e julgamento das propostas observará o disposto no art. 109, §§ 4º e 6º, da Lei 8.666, de 1993.</w:t>
      </w:r>
    </w:p>
    <w:p>
      <w:pPr>
        <w:pStyle w:val="Nivel2"/>
        <w:numPr>
          <w:ilvl w:val="1"/>
          <w:numId w:val="17"/>
        </w:numPr>
        <w:ind w:left="425" w:hanging="0"/>
        <w:rPr>
          <w:rFonts w:ascii="Arial" w:hAnsi="Arial" w:cs="Arial"/>
        </w:rPr>
      </w:pPr>
      <w:r>
        <w:rPr>
          <w:rFonts w:cs="Arial" w:ascii="Arial" w:hAnsi="Arial"/>
          <w:sz w:val="20"/>
          <w:szCs w:val="20"/>
        </w:rPr>
        <w:t>Após cada fase da licitação, os autos do processo ficarão com vista franqueada aos interessados, pelo prazo previsto para a interposição de recursos.</w:t>
      </w:r>
    </w:p>
    <w:p>
      <w:pPr>
        <w:pStyle w:val="Nivel2"/>
        <w:numPr>
          <w:ilvl w:val="1"/>
          <w:numId w:val="17"/>
        </w:numPr>
        <w:ind w:left="425" w:hanging="0"/>
        <w:rPr>
          <w:rFonts w:ascii="Arial" w:hAnsi="Arial" w:cs="Arial"/>
        </w:rPr>
      </w:pPr>
      <w:r>
        <w:rPr>
          <w:rFonts w:cs="Arial" w:ascii="Arial" w:hAnsi="Arial"/>
          <w:sz w:val="20"/>
          <w:szCs w:val="20"/>
        </w:rPr>
        <w:t>O recurso da decisão que habilitar ou inabilitar licitantes e que julgar as propostas terá efeito suspensivo, podendo a autoridade competente, motivadamente e presentes razões de interesse público, atribuir aos demais recursos interpostos, eficácia suspensiva.</w:t>
      </w:r>
    </w:p>
    <w:p>
      <w:pPr>
        <w:pStyle w:val="Nivel2"/>
        <w:numPr>
          <w:ilvl w:val="1"/>
          <w:numId w:val="17"/>
        </w:numPr>
        <w:ind w:left="425" w:hanging="0"/>
        <w:rPr>
          <w:rFonts w:ascii="Arial" w:hAnsi="Arial"/>
          <w:sz w:val="20"/>
          <w:szCs w:val="20"/>
        </w:rPr>
      </w:pPr>
      <w:r>
        <w:rPr>
          <w:rFonts w:cs="Arial" w:ascii="Arial" w:hAnsi="Arial"/>
          <w:sz w:val="20"/>
          <w:szCs w:val="20"/>
        </w:rPr>
        <w:t xml:space="preserve">Os recursos deverão ser encaminhados para o e-mail </w:t>
      </w:r>
      <w:r>
        <w:rPr>
          <w:rFonts w:cs="Arial" w:ascii="Arial" w:hAnsi="Arial"/>
          <w:color w:val="0000FF"/>
          <w:sz w:val="20"/>
          <w:szCs w:val="20"/>
        </w:rPr>
        <w:t>cpl@camaqua.ifsul.edu.br.</w:t>
      </w:r>
    </w:p>
    <w:p>
      <w:pPr>
        <w:pStyle w:val="Nivel2"/>
        <w:numPr>
          <w:ilvl w:val="1"/>
          <w:numId w:val="17"/>
        </w:numPr>
        <w:ind w:left="425" w:hanging="0"/>
        <w:rPr>
          <w:rFonts w:ascii="Arial" w:hAnsi="Arial"/>
          <w:sz w:val="20"/>
          <w:szCs w:val="20"/>
        </w:rPr>
      </w:pPr>
      <w:r>
        <w:rPr>
          <w:rFonts w:cs="Arial" w:ascii="Arial" w:hAnsi="Arial"/>
          <w:sz w:val="20"/>
          <w:szCs w:val="20"/>
        </w:rPr>
        <w:t xml:space="preserve"> </w:t>
      </w:r>
      <w:r>
        <w:rPr>
          <w:rFonts w:cs="Arial" w:ascii="Arial" w:hAnsi="Arial"/>
          <w:sz w:val="20"/>
          <w:szCs w:val="20"/>
        </w:rPr>
        <w:t>O recurso será dirigido ao DEAP, por intermédio do Presidente da Comissão de Licitação, a qual poderá reconsiderar sua decisão, no prazo de 5 (cinco) dias úteis, ou, nesse mesmo prazo, fazê-lo subir, devidamente informado, devendo, neste caso, a decisão ser proferida dentro do prazo de 5 (cinco) dias úteis, contado do recebimento do recurso, sob pena de responsabilidade.</w:t>
      </w:r>
    </w:p>
    <w:p>
      <w:pPr>
        <w:pStyle w:val="Nivel2"/>
        <w:numPr>
          <w:ilvl w:val="1"/>
          <w:numId w:val="17"/>
        </w:numPr>
        <w:ind w:left="425" w:hanging="0"/>
        <w:rPr>
          <w:rFonts w:ascii="Arial" w:hAnsi="Arial" w:cs="Arial"/>
        </w:rPr>
      </w:pPr>
      <w:r>
        <w:rPr>
          <w:rFonts w:cs="Arial" w:ascii="Arial" w:hAnsi="Arial"/>
          <w:sz w:val="20"/>
          <w:szCs w:val="20"/>
        </w:rPr>
        <w:t>Os recursos interpostos fora do prazo não serão conhecidos.</w:t>
      </w:r>
    </w:p>
    <w:p>
      <w:pPr>
        <w:pStyle w:val="Nivel01"/>
        <w:numPr>
          <w:ilvl w:val="0"/>
          <w:numId w:val="17"/>
        </w:numPr>
        <w:tabs>
          <w:tab w:val="left" w:pos="420" w:leader="none"/>
          <w:tab w:val="left" w:pos="567" w:leader="none"/>
        </w:tabs>
        <w:spacing w:lineRule="auto" w:line="276" w:before="480" w:after="120"/>
        <w:ind w:left="435" w:right="0" w:hanging="0"/>
        <w:rPr>
          <w:rFonts w:ascii="Arial" w:hAnsi="Arial" w:cs="Arial"/>
        </w:rPr>
      </w:pPr>
      <w:r>
        <w:rPr>
          <w:rFonts w:cs="Arial" w:ascii="Arial" w:hAnsi="Arial"/>
          <w:color w:val="000000"/>
          <w:sz w:val="20"/>
          <w:szCs w:val="20"/>
        </w:rPr>
        <w:t>DA GARANTIA DE EXECUÇÃO</w:t>
      </w:r>
    </w:p>
    <w:p>
      <w:pPr>
        <w:pStyle w:val="Normal"/>
        <w:widowControl/>
        <w:numPr>
          <w:ilvl w:val="1"/>
          <w:numId w:val="17"/>
        </w:numPr>
        <w:suppressAutoHyphens w:val="false"/>
        <w:spacing w:lineRule="auto" w:line="276" w:before="120" w:after="120"/>
        <w:jc w:val="both"/>
        <w:rPr>
          <w:rFonts w:ascii="Arial" w:hAnsi="Arial" w:cs="Arial"/>
          <w:color w:val="FF0000"/>
          <w:sz w:val="20"/>
        </w:rPr>
      </w:pPr>
      <w:r>
        <w:rPr>
          <w:rFonts w:cs="Arial" w:ascii="Arial" w:hAnsi="Arial"/>
          <w:color w:val="000000"/>
          <w:sz w:val="20"/>
          <w:szCs w:val="20"/>
        </w:rPr>
        <w:t>Não haverá exigência de garantia de execução para a presente contratação.</w:t>
      </w:r>
    </w:p>
    <w:p>
      <w:pPr>
        <w:pStyle w:val="Normal"/>
        <w:spacing w:lineRule="auto" w:line="276" w:before="120" w:after="120"/>
        <w:jc w:val="both"/>
        <w:rPr>
          <w:rFonts w:ascii="Arial" w:hAnsi="Arial" w:cs="Arial"/>
          <w:sz w:val="20"/>
          <w:szCs w:val="20"/>
        </w:rPr>
      </w:pPr>
      <w:r>
        <w:rPr>
          <w:rFonts w:cs="Arial" w:ascii="Arial" w:hAnsi="Arial"/>
          <w:sz w:val="20"/>
          <w:szCs w:val="20"/>
        </w:rPr>
      </w:r>
    </w:p>
    <w:p>
      <w:pPr>
        <w:pStyle w:val="Nivel1"/>
        <w:numPr>
          <w:ilvl w:val="0"/>
          <w:numId w:val="17"/>
        </w:numPr>
        <w:ind w:left="0" w:hanging="0"/>
        <w:rPr>
          <w:rFonts w:ascii="Arial" w:hAnsi="Arial" w:eastAsia="Calibri"/>
          <w:i/>
          <w:i/>
          <w:iCs/>
          <w:color w:val="000000"/>
          <w:lang w:eastAsia="en-US"/>
        </w:rPr>
      </w:pPr>
      <w:r>
        <w:rPr>
          <w:rFonts w:ascii="Arial" w:hAnsi="Arial"/>
          <w:sz w:val="20"/>
          <w:szCs w:val="20"/>
        </w:rPr>
        <w:t>DO TERMO DE CONTRATO OU INSTRUMENTO EQUIVALENTE</w:t>
      </w:r>
    </w:p>
    <w:p>
      <w:pPr>
        <w:pStyle w:val="ListParagraph"/>
        <w:widowControl/>
        <w:numPr>
          <w:ilvl w:val="1"/>
          <w:numId w:val="18"/>
        </w:numPr>
        <w:suppressAutoHyphens w:val="false"/>
        <w:spacing w:lineRule="auto" w:line="276" w:before="120" w:after="120"/>
        <w:contextualSpacing/>
        <w:jc w:val="both"/>
        <w:rPr>
          <w:rFonts w:ascii="Arial" w:hAnsi="Arial" w:eastAsia="Arial" w:cs="Arial"/>
          <w:color w:val="000000"/>
          <w:sz w:val="20"/>
        </w:rPr>
      </w:pPr>
      <w:r>
        <w:rPr>
          <w:rFonts w:eastAsia="Arial" w:cs="Arial" w:ascii="Arial" w:hAnsi="Arial"/>
          <w:color w:val="000000"/>
          <w:sz w:val="20"/>
          <w:szCs w:val="20"/>
        </w:rPr>
        <w:t>Após a homologação da licitação, em sendo realizada a contratação, será firmado Termo de Contrato ou emitido instrumento equivalente.</w:t>
      </w:r>
    </w:p>
    <w:p>
      <w:pPr>
        <w:pStyle w:val="Normal"/>
        <w:widowControl/>
        <w:numPr>
          <w:ilvl w:val="1"/>
          <w:numId w:val="18"/>
        </w:numPr>
        <w:suppressAutoHyphens w:val="false"/>
        <w:spacing w:lineRule="auto" w:line="276" w:before="120" w:after="120"/>
        <w:jc w:val="both"/>
        <w:rPr>
          <w:rFonts w:ascii="Arial" w:hAnsi="Arial"/>
          <w:sz w:val="20"/>
          <w:szCs w:val="20"/>
        </w:rPr>
      </w:pPr>
      <w:r>
        <w:rPr>
          <w:rFonts w:eastAsia="Arial" w:cs="Arial" w:ascii="Arial" w:hAnsi="Arial"/>
          <w:color w:val="000000"/>
          <w:sz w:val="20"/>
          <w:szCs w:val="20"/>
        </w:rPr>
        <w:t xml:space="preserve">O adjudicatário terá o prazo de </w:t>
      </w:r>
      <w:r>
        <w:rPr>
          <w:rFonts w:eastAsia="Arial" w:cs="Arial" w:ascii="Arial" w:hAnsi="Arial"/>
          <w:b/>
          <w:bCs/>
          <w:color w:val="000000"/>
          <w:sz w:val="20"/>
          <w:szCs w:val="20"/>
        </w:rPr>
        <w:t>10 dias úteis</w:t>
      </w:r>
      <w:r>
        <w:rPr>
          <w:rFonts w:eastAsia="Arial" w:cs="Arial" w:ascii="Arial" w:hAnsi="Arial"/>
          <w:color w:val="000000"/>
          <w:sz w:val="20"/>
          <w:szCs w:val="2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pPr>
        <w:pStyle w:val="Normal"/>
        <w:widowControl/>
        <w:numPr>
          <w:ilvl w:val="2"/>
          <w:numId w:val="18"/>
        </w:numPr>
        <w:suppressAutoHyphens w:val="false"/>
        <w:spacing w:lineRule="auto" w:line="276" w:before="120" w:after="120"/>
        <w:jc w:val="both"/>
        <w:rPr>
          <w:rFonts w:ascii="Arial" w:hAnsi="Arial"/>
          <w:sz w:val="20"/>
          <w:szCs w:val="20"/>
        </w:rPr>
      </w:pPr>
      <w:r>
        <w:rPr>
          <w:rFonts w:eastAsia="Arial" w:cs="Arial" w:ascii="Arial" w:hAnsi="Arial"/>
          <w:color w:val="000000"/>
          <w:sz w:val="2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5 dias, a contar da data de seu recebimento. </w:t>
      </w:r>
    </w:p>
    <w:p>
      <w:pPr>
        <w:pStyle w:val="ListParagraph"/>
        <w:widowControl/>
        <w:numPr>
          <w:ilvl w:val="2"/>
          <w:numId w:val="18"/>
        </w:numPr>
        <w:suppressAutoHyphens w:val="false"/>
        <w:spacing w:lineRule="auto" w:line="276" w:before="120" w:after="120"/>
        <w:contextualSpacing/>
        <w:jc w:val="both"/>
        <w:rPr>
          <w:rFonts w:ascii="Arial" w:hAnsi="Arial" w:eastAsia="Arial" w:cs="Arial"/>
          <w:color w:val="000000"/>
          <w:sz w:val="20"/>
        </w:rPr>
      </w:pPr>
      <w:r>
        <w:rPr>
          <w:rFonts w:eastAsia="Arial" w:cs="Arial" w:ascii="Arial" w:hAnsi="Arial"/>
          <w:color w:val="000000"/>
          <w:sz w:val="20"/>
          <w:szCs w:val="20"/>
        </w:rPr>
        <w:t>O prazo previsto no subitem anterior poderá ser prorrogado, por igual período, por solicitação justificada do adjudicatário e aceita pela Administração.</w:t>
      </w:r>
    </w:p>
    <w:p>
      <w:pPr>
        <w:pStyle w:val="ListParagraph"/>
        <w:widowControl/>
        <w:numPr>
          <w:ilvl w:val="1"/>
          <w:numId w:val="18"/>
        </w:numPr>
        <w:suppressAutoHyphens w:val="false"/>
        <w:spacing w:lineRule="auto" w:line="276" w:before="120" w:after="120"/>
        <w:contextualSpacing/>
        <w:jc w:val="both"/>
        <w:rPr>
          <w:rFonts w:ascii="Arial" w:hAnsi="Arial"/>
          <w:sz w:val="20"/>
          <w:szCs w:val="20"/>
        </w:rPr>
      </w:pPr>
      <w:r>
        <w:rPr>
          <w:rFonts w:eastAsia="Arial" w:cs="Arial" w:ascii="Arial" w:hAnsi="Arial"/>
          <w:color w:val="000000"/>
          <w:sz w:val="20"/>
          <w:szCs w:val="20"/>
        </w:rPr>
        <w:t>O Aceite da Nota de Empenho ou do instrumento equivalente, emitida à empresa adjudicada, implica no reconhecimento de que:</w:t>
      </w:r>
    </w:p>
    <w:p>
      <w:pPr>
        <w:pStyle w:val="Normal"/>
        <w:widowControl/>
        <w:numPr>
          <w:ilvl w:val="2"/>
          <w:numId w:val="18"/>
        </w:numPr>
        <w:suppressAutoHyphens w:val="false"/>
        <w:spacing w:lineRule="auto" w:line="276" w:before="120" w:after="120"/>
        <w:jc w:val="both"/>
        <w:rPr>
          <w:rFonts w:ascii="Arial" w:hAnsi="Arial" w:eastAsia="Arial" w:cs="Arial"/>
          <w:color w:val="000000"/>
          <w:sz w:val="20"/>
        </w:rPr>
      </w:pPr>
      <w:r>
        <w:rPr>
          <w:rFonts w:eastAsia="Arial" w:cs="Arial" w:ascii="Arial" w:hAnsi="Arial"/>
          <w:color w:val="000000"/>
          <w:sz w:val="20"/>
          <w:szCs w:val="20"/>
        </w:rPr>
        <w:t>referida Nota está substituindo o contrato, aplicando-se à relação de negócios ali estabelecida as disposições da Lei nº 8.666, de 1993;</w:t>
      </w:r>
    </w:p>
    <w:p>
      <w:pPr>
        <w:pStyle w:val="Normal"/>
        <w:widowControl/>
        <w:numPr>
          <w:ilvl w:val="2"/>
          <w:numId w:val="18"/>
        </w:numPr>
        <w:suppressAutoHyphens w:val="false"/>
        <w:spacing w:lineRule="auto" w:line="276" w:before="120" w:after="120"/>
        <w:jc w:val="both"/>
        <w:rPr>
          <w:rFonts w:ascii="Arial" w:hAnsi="Arial" w:eastAsia="Arial" w:cs="Arial"/>
          <w:color w:val="000000"/>
          <w:sz w:val="20"/>
        </w:rPr>
      </w:pPr>
      <w:r>
        <w:rPr>
          <w:rFonts w:eastAsia="Arial" w:cs="Arial" w:ascii="Arial" w:hAnsi="Arial"/>
          <w:color w:val="000000"/>
          <w:sz w:val="20"/>
          <w:szCs w:val="20"/>
        </w:rPr>
        <w:t>a contratada se vincula à sua proposta e às previsões contidas no edital e seus anexos;</w:t>
      </w:r>
    </w:p>
    <w:p>
      <w:pPr>
        <w:pStyle w:val="Normal"/>
        <w:widowControl/>
        <w:numPr>
          <w:ilvl w:val="2"/>
          <w:numId w:val="18"/>
        </w:numPr>
        <w:suppressAutoHyphens w:val="false"/>
        <w:spacing w:lineRule="auto" w:line="276" w:before="120" w:after="120"/>
        <w:jc w:val="both"/>
        <w:rPr>
          <w:rFonts w:ascii="Arial" w:hAnsi="Arial" w:eastAsia="Arial" w:cs="Arial"/>
          <w:color w:val="000000"/>
          <w:sz w:val="20"/>
        </w:rPr>
      </w:pPr>
      <w:r>
        <w:rPr>
          <w:rFonts w:eastAsia="Arial" w:cs="Arial" w:ascii="Arial" w:hAnsi="Arial"/>
          <w:color w:val="000000"/>
          <w:sz w:val="20"/>
          <w:szCs w:val="20"/>
        </w:rPr>
        <w:t>a contratada reconhece que as hipóteses de rescisão são aquelas previstas nos artigos 77 e 78 da Lei nº 8.666/93 e reconhece os direitos da Administração previstos nos artigos 79 e 80 da mesma Lei.</w:t>
      </w:r>
    </w:p>
    <w:p>
      <w:pPr>
        <w:pStyle w:val="ListParagraph"/>
        <w:widowControl/>
        <w:numPr>
          <w:ilvl w:val="1"/>
          <w:numId w:val="18"/>
        </w:numPr>
        <w:suppressAutoHyphens w:val="false"/>
        <w:spacing w:lineRule="auto" w:line="276" w:before="120" w:after="120"/>
        <w:ind w:left="1340" w:right="0" w:hanging="480"/>
        <w:contextualSpacing/>
        <w:jc w:val="both"/>
        <w:rPr>
          <w:rFonts w:ascii="Arial" w:hAnsi="Arial"/>
          <w:sz w:val="20"/>
          <w:szCs w:val="20"/>
        </w:rPr>
      </w:pPr>
      <w:r>
        <w:rPr>
          <w:rFonts w:cs="Arial" w:ascii="Arial" w:hAnsi="Arial"/>
          <w:color w:val="000000"/>
          <w:sz w:val="20"/>
          <w:szCs w:val="20"/>
        </w:rPr>
        <w:t>O prazo de vigência da contratação é de 12 meses contados da assinatura do contrato prorrogável na forma dos arts. 57, §1° e 79, §5º, da Lei n° 8.666/9</w:t>
      </w:r>
      <w:r>
        <w:rPr>
          <w:rFonts w:cs="Arial" w:ascii="Arial" w:hAnsi="Arial"/>
          <w:bCs/>
          <w:iCs/>
          <w:sz w:val="20"/>
          <w:szCs w:val="20"/>
        </w:rPr>
        <w:t>3.</w:t>
      </w:r>
    </w:p>
    <w:p>
      <w:pPr>
        <w:pStyle w:val="Normal"/>
        <w:widowControl/>
        <w:numPr>
          <w:ilvl w:val="1"/>
          <w:numId w:val="18"/>
        </w:numPr>
        <w:suppressAutoHyphens w:val="false"/>
        <w:spacing w:lineRule="auto" w:line="276" w:before="120" w:after="120"/>
        <w:jc w:val="both"/>
        <w:rPr>
          <w:rFonts w:ascii="Arial" w:hAnsi="Arial"/>
          <w:sz w:val="20"/>
          <w:szCs w:val="20"/>
        </w:rPr>
      </w:pPr>
      <w:r>
        <w:rPr>
          <w:rFonts w:eastAsia="Arial" w:cs="Arial" w:ascii="Arial" w:hAnsi="Arial"/>
          <w:color w:val="000000"/>
          <w:sz w:val="20"/>
          <w:szCs w:val="20"/>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pPr>
        <w:pStyle w:val="Normal"/>
        <w:widowControl/>
        <w:numPr>
          <w:ilvl w:val="2"/>
          <w:numId w:val="18"/>
        </w:numPr>
        <w:suppressAutoHyphens w:val="false"/>
        <w:spacing w:lineRule="auto" w:line="276" w:before="120" w:after="120"/>
        <w:jc w:val="both"/>
        <w:rPr>
          <w:rFonts w:ascii="Arial" w:hAnsi="Arial" w:eastAsia="Arial" w:cs="Arial"/>
          <w:color w:val="000000"/>
          <w:sz w:val="20"/>
        </w:rPr>
      </w:pPr>
      <w:r>
        <w:rPr>
          <w:rFonts w:eastAsia="Arial" w:cs="Arial" w:ascii="Arial" w:hAnsi="Arial"/>
          <w:color w:val="000000"/>
          <w:sz w:val="20"/>
          <w:szCs w:val="20"/>
        </w:rPr>
        <w:t>Nos casos em que houver necessidade de assinatura do instrumento de contrato, e o fornecedor não estiver inscrito no SICAF, este deverá proceder ao seu cadastramento, sem ônus, antes da contratação.</w:t>
      </w:r>
    </w:p>
    <w:p>
      <w:pPr>
        <w:pStyle w:val="Normal"/>
        <w:widowControl/>
        <w:numPr>
          <w:ilvl w:val="2"/>
          <w:numId w:val="18"/>
        </w:numPr>
        <w:suppressAutoHyphens w:val="false"/>
        <w:spacing w:lineRule="auto" w:line="276" w:before="120" w:after="120"/>
        <w:jc w:val="both"/>
        <w:rPr>
          <w:rFonts w:ascii="Arial" w:hAnsi="Arial" w:eastAsia="Arial" w:cs="Arial"/>
          <w:color w:val="000000"/>
          <w:sz w:val="20"/>
        </w:rPr>
      </w:pPr>
      <w:r>
        <w:rPr>
          <w:rFonts w:cs="Arial" w:ascii="Arial" w:hAnsi="Arial"/>
          <w:color w:val="000000"/>
          <w:sz w:val="20"/>
          <w:szCs w:val="20"/>
        </w:rPr>
        <w:t>Na hipótese de irregularidade do registro no SICAF, o contratado deverá regularizar a sua situação perante o cadastro no prazo de até 05 (cinco) dias úteis, sob pena de aplicação das penalidades previstas no edital e anexos.</w:t>
      </w:r>
    </w:p>
    <w:p>
      <w:pPr>
        <w:pStyle w:val="Normal"/>
        <w:widowControl/>
        <w:numPr>
          <w:ilvl w:val="1"/>
          <w:numId w:val="18"/>
        </w:numPr>
        <w:suppressAutoHyphens w:val="false"/>
        <w:spacing w:lineRule="auto" w:line="276" w:before="120" w:after="120"/>
        <w:jc w:val="both"/>
        <w:rPr>
          <w:rFonts w:ascii="Arial" w:hAnsi="Arial" w:eastAsia="Arial" w:cs="Arial"/>
          <w:color w:val="000000"/>
          <w:sz w:val="20"/>
        </w:rPr>
      </w:pPr>
      <w:r>
        <w:rPr>
          <w:rFonts w:eastAsia="Arial" w:cs="Arial" w:ascii="Arial" w:hAnsi="Arial"/>
          <w:color w:val="000000"/>
          <w:sz w:val="20"/>
          <w:szCs w:val="20"/>
        </w:rPr>
        <w:t>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pPr>
        <w:pStyle w:val="Nivel1"/>
        <w:numPr>
          <w:ilvl w:val="0"/>
          <w:numId w:val="18"/>
        </w:numPr>
        <w:ind w:left="0" w:hanging="0"/>
        <w:rPr>
          <w:rFonts w:ascii="Arial" w:hAnsi="Arial"/>
          <w:sz w:val="20"/>
          <w:szCs w:val="20"/>
        </w:rPr>
      </w:pPr>
      <w:r>
        <w:rPr>
          <w:rFonts w:ascii="Arial" w:hAnsi="Arial"/>
          <w:sz w:val="20"/>
          <w:szCs w:val="20"/>
        </w:rPr>
        <w:t>DO REAJUSTE</w:t>
      </w:r>
    </w:p>
    <w:p>
      <w:pPr>
        <w:pStyle w:val="ListParagraph"/>
        <w:numPr>
          <w:ilvl w:val="1"/>
          <w:numId w:val="18"/>
        </w:numPr>
        <w:spacing w:lineRule="auto" w:line="276" w:before="120" w:after="120"/>
        <w:contextualSpacing/>
        <w:jc w:val="both"/>
        <w:rPr>
          <w:rFonts w:ascii="Arial" w:hAnsi="Arial"/>
          <w:sz w:val="20"/>
          <w:szCs w:val="20"/>
        </w:rPr>
      </w:pPr>
      <w:r>
        <w:rPr>
          <w:rFonts w:cs="Arial" w:ascii="Arial" w:hAnsi="Arial"/>
          <w:sz w:val="20"/>
          <w:szCs w:val="20"/>
        </w:rPr>
        <w:t>Os preços são fixos e irreajustáveis no prazo de um ano contado da data limite para a apresentação das propostas.</w:t>
      </w:r>
    </w:p>
    <w:p>
      <w:pPr>
        <w:pStyle w:val="ListParagraph"/>
        <w:numPr>
          <w:ilvl w:val="0"/>
          <w:numId w:val="0"/>
        </w:numPr>
        <w:spacing w:lineRule="auto" w:line="276" w:before="120" w:after="120"/>
        <w:ind w:left="720" w:hanging="0"/>
        <w:contextualSpacing/>
        <w:jc w:val="both"/>
        <w:rPr>
          <w:rFonts w:ascii="Arial" w:hAnsi="Arial" w:cs="Arial"/>
          <w:sz w:val="20"/>
          <w:szCs w:val="20"/>
        </w:rPr>
      </w:pPr>
      <w:r>
        <w:rPr>
          <w:rFonts w:cs="Arial" w:ascii="Arial" w:hAnsi="Arial"/>
          <w:sz w:val="20"/>
          <w:szCs w:val="20"/>
        </w:rPr>
      </w:r>
    </w:p>
    <w:p>
      <w:pPr>
        <w:pStyle w:val="ListParagraph"/>
        <w:numPr>
          <w:ilvl w:val="2"/>
          <w:numId w:val="18"/>
        </w:numPr>
        <w:spacing w:lineRule="auto" w:line="276" w:before="120" w:after="120"/>
        <w:contextualSpacing/>
        <w:jc w:val="both"/>
        <w:rPr>
          <w:rFonts w:ascii="Arial" w:hAnsi="Arial"/>
          <w:sz w:val="20"/>
          <w:szCs w:val="20"/>
        </w:rPr>
      </w:pPr>
      <w:r>
        <w:rPr>
          <w:rFonts w:cs="Arial" w:ascii="Arial" w:hAnsi="Arial"/>
          <w:bCs/>
          <w:iCs/>
          <w:sz w:val="20"/>
          <w:szCs w:val="20"/>
        </w:rPr>
        <w:t xml:space="preserve">Dentro do prazo de vigência do contrato e mediante solicitação da contratada, os preços contratados poderão sofrer reajuste após o interregno de um ano, aplicando-se o índice </w:t>
      </w:r>
      <w:r>
        <w:rPr>
          <w:rFonts w:cs="Arial" w:ascii="Arial" w:hAnsi="Arial"/>
          <w:bCs/>
          <w:i w:val="false"/>
          <w:iCs w:val="false"/>
          <w:color w:val="000000"/>
          <w:sz w:val="20"/>
          <w:szCs w:val="20"/>
        </w:rPr>
        <w:t>IGP-M, da Fundação Getúlio Vargas</w:t>
      </w:r>
      <w:r>
        <w:rPr>
          <w:rFonts w:cs="Arial" w:ascii="Arial" w:hAnsi="Arial"/>
          <w:bCs/>
          <w:iCs/>
          <w:color w:val="FF0000"/>
          <w:sz w:val="20"/>
          <w:szCs w:val="20"/>
        </w:rPr>
        <w:t xml:space="preserve"> </w:t>
      </w:r>
      <w:r>
        <w:rPr>
          <w:rFonts w:cs="Arial" w:ascii="Arial" w:hAnsi="Arial"/>
          <w:bCs/>
          <w:iCs/>
          <w:sz w:val="20"/>
          <w:szCs w:val="20"/>
        </w:rPr>
        <w:t>exclusivamente para as obrigações iniciadas e concluídas após a ocorrência da anualidade.</w:t>
      </w:r>
    </w:p>
    <w:p>
      <w:pPr>
        <w:pStyle w:val="ListParagraph"/>
        <w:numPr>
          <w:ilvl w:val="1"/>
          <w:numId w:val="18"/>
        </w:numPr>
        <w:spacing w:lineRule="auto" w:line="276" w:before="120" w:after="120"/>
        <w:contextualSpacing/>
        <w:jc w:val="both"/>
        <w:rPr>
          <w:rFonts w:ascii="Arial" w:hAnsi="Arial"/>
          <w:sz w:val="20"/>
          <w:szCs w:val="20"/>
        </w:rPr>
      </w:pPr>
      <w:r>
        <w:rPr>
          <w:rFonts w:cs="Arial" w:ascii="Arial" w:hAnsi="Arial"/>
          <w:sz w:val="20"/>
          <w:szCs w:val="20"/>
        </w:rPr>
        <w:t>Nos reajustes subsequentes ao primeiro, o interregno mínimo de um ano será contado a partir dos efeitos financeiros do último reajuste.</w:t>
      </w:r>
    </w:p>
    <w:p>
      <w:pPr>
        <w:pStyle w:val="ListParagraph"/>
        <w:numPr>
          <w:ilvl w:val="1"/>
          <w:numId w:val="18"/>
        </w:numPr>
        <w:spacing w:lineRule="auto" w:line="276" w:before="120" w:after="120"/>
        <w:contextualSpacing/>
        <w:jc w:val="both"/>
        <w:rPr>
          <w:rFonts w:ascii="Arial" w:hAnsi="Arial"/>
          <w:sz w:val="20"/>
          <w:szCs w:val="20"/>
        </w:rPr>
      </w:pPr>
      <w:r>
        <w:rPr>
          <w:rFonts w:cs="Arial" w:ascii="Arial" w:hAnsi="Arial"/>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pPr>
        <w:pStyle w:val="ListParagraph"/>
        <w:numPr>
          <w:ilvl w:val="1"/>
          <w:numId w:val="18"/>
        </w:numPr>
        <w:spacing w:lineRule="auto" w:line="276" w:before="120" w:after="120"/>
        <w:contextualSpacing/>
        <w:jc w:val="both"/>
        <w:rPr>
          <w:rFonts w:ascii="Arial" w:hAnsi="Arial"/>
          <w:sz w:val="20"/>
          <w:szCs w:val="20"/>
        </w:rPr>
      </w:pPr>
      <w:r>
        <w:rPr>
          <w:rFonts w:cs="Arial" w:ascii="Arial" w:hAnsi="Arial"/>
          <w:sz w:val="20"/>
          <w:szCs w:val="20"/>
        </w:rPr>
        <w:t>Nas aferições finais, o índice utilizado para reajuste será, obrigatoriamente, o definitivo.</w:t>
      </w:r>
    </w:p>
    <w:p>
      <w:pPr>
        <w:pStyle w:val="ListParagraph"/>
        <w:numPr>
          <w:ilvl w:val="1"/>
          <w:numId w:val="18"/>
        </w:numPr>
        <w:spacing w:lineRule="auto" w:line="276" w:before="120" w:after="120"/>
        <w:contextualSpacing/>
        <w:jc w:val="both"/>
        <w:rPr>
          <w:rFonts w:ascii="Arial" w:hAnsi="Arial"/>
          <w:sz w:val="20"/>
          <w:szCs w:val="20"/>
        </w:rPr>
      </w:pPr>
      <w:r>
        <w:rPr>
          <w:rFonts w:cs="Arial" w:ascii="Arial" w:hAnsi="Arial"/>
          <w:sz w:val="20"/>
          <w:szCs w:val="20"/>
        </w:rPr>
        <w:t>Caso o índice estabelecido para reajustamento venha a ser extinto ou de qualquer forma não possa mais ser utilizado, será adotado, em substituição, o que vier a ser determinado pela legislação então em vigor.</w:t>
      </w:r>
    </w:p>
    <w:p>
      <w:pPr>
        <w:pStyle w:val="ListParagraph"/>
        <w:numPr>
          <w:ilvl w:val="1"/>
          <w:numId w:val="18"/>
        </w:numPr>
        <w:spacing w:lineRule="auto" w:line="276" w:before="120" w:after="120"/>
        <w:contextualSpacing/>
        <w:jc w:val="both"/>
        <w:rPr>
          <w:rFonts w:ascii="Arial" w:hAnsi="Arial"/>
          <w:sz w:val="20"/>
          <w:szCs w:val="20"/>
        </w:rPr>
      </w:pPr>
      <w:r>
        <w:rPr>
          <w:rFonts w:cs="Arial" w:ascii="Arial" w:hAnsi="Arial"/>
          <w:sz w:val="20"/>
          <w:szCs w:val="20"/>
        </w:rPr>
        <w:t xml:space="preserve">Na ausência de previsão legal quanto ao índice substituto, as partes elegerão novo índice oficial, para reajustamento do preço do valor remanescente, por meio de termo aditivo. </w:t>
      </w:r>
    </w:p>
    <w:p>
      <w:pPr>
        <w:pStyle w:val="ListParagraph"/>
        <w:numPr>
          <w:ilvl w:val="1"/>
          <w:numId w:val="18"/>
        </w:numPr>
        <w:spacing w:lineRule="auto" w:line="276" w:before="120" w:after="120"/>
        <w:contextualSpacing/>
        <w:jc w:val="both"/>
        <w:rPr/>
      </w:pPr>
      <w:r>
        <w:rPr>
          <w:rFonts w:cs="Arial" w:ascii="Arial" w:hAnsi="Arial"/>
          <w:color w:val="000000"/>
          <w:sz w:val="20"/>
          <w:szCs w:val="20"/>
        </w:rPr>
        <w:t>O reajuste será realizado por apostilamento.</w:t>
      </w:r>
    </w:p>
    <w:p>
      <w:pPr>
        <w:pStyle w:val="Nivel1"/>
        <w:numPr>
          <w:ilvl w:val="0"/>
          <w:numId w:val="0"/>
        </w:numPr>
        <w:rPr>
          <w:rFonts w:ascii="Arial" w:hAnsi="Arial"/>
          <w:sz w:val="20"/>
          <w:szCs w:val="20"/>
        </w:rPr>
      </w:pPr>
      <w:r>
        <w:rPr>
          <w:rFonts w:ascii="Arial" w:hAnsi="Arial"/>
          <w:sz w:val="20"/>
          <w:szCs w:val="20"/>
        </w:rPr>
      </w:r>
    </w:p>
    <w:p>
      <w:pPr>
        <w:pStyle w:val="Nivel1"/>
        <w:numPr>
          <w:ilvl w:val="0"/>
          <w:numId w:val="18"/>
        </w:numPr>
        <w:ind w:left="0" w:hanging="0"/>
        <w:rPr>
          <w:rFonts w:ascii="Arial" w:hAnsi="Arial"/>
        </w:rPr>
      </w:pPr>
      <w:r>
        <w:rPr>
          <w:rFonts w:ascii="Arial" w:hAnsi="Arial"/>
          <w:sz w:val="20"/>
          <w:szCs w:val="20"/>
        </w:rPr>
        <w:t>DA ENTREGA E DO RECEBIMENTO DO OBJETO E DA FISCALIZAÇÃO</w:t>
      </w:r>
    </w:p>
    <w:p>
      <w:pPr>
        <w:pStyle w:val="Nivel2"/>
        <w:numPr>
          <w:ilvl w:val="1"/>
          <w:numId w:val="18"/>
        </w:numPr>
        <w:ind w:left="425" w:hanging="0"/>
        <w:rPr>
          <w:rFonts w:ascii="Arial" w:hAnsi="Arial"/>
          <w:sz w:val="20"/>
          <w:szCs w:val="20"/>
        </w:rPr>
      </w:pPr>
      <w:r>
        <w:rPr>
          <w:rFonts w:cs="Arial" w:ascii="Arial" w:hAnsi="Arial"/>
          <w:sz w:val="20"/>
          <w:szCs w:val="20"/>
          <w:lang w:eastAsia="en-US"/>
        </w:rPr>
        <w:t>Os critérios de recebimento e aceitação do objeto e de fiscalização estão previstos no Projeto Básico, ANEXO I.</w:t>
      </w:r>
    </w:p>
    <w:p>
      <w:pPr>
        <w:pStyle w:val="Nivel2"/>
        <w:numPr>
          <w:ilvl w:val="0"/>
          <w:numId w:val="0"/>
        </w:numPr>
        <w:ind w:left="425" w:hanging="0"/>
        <w:rPr>
          <w:rFonts w:ascii="Arial" w:hAnsi="Arial" w:cs="Arial"/>
          <w:sz w:val="20"/>
          <w:szCs w:val="20"/>
        </w:rPr>
      </w:pPr>
      <w:r>
        <w:rPr>
          <w:rFonts w:cs="Arial" w:ascii="Arial" w:hAnsi="Arial"/>
          <w:sz w:val="20"/>
          <w:szCs w:val="20"/>
        </w:rPr>
      </w:r>
    </w:p>
    <w:p>
      <w:pPr>
        <w:pStyle w:val="Corpodetexto"/>
        <w:numPr>
          <w:ilvl w:val="0"/>
          <w:numId w:val="18"/>
        </w:numPr>
        <w:spacing w:before="120" w:after="120"/>
        <w:jc w:val="both"/>
        <w:rPr>
          <w:rFonts w:ascii="Arial" w:hAnsi="Arial" w:cs="Arial"/>
          <w:b/>
          <w:b/>
          <w:sz w:val="20"/>
        </w:rPr>
      </w:pPr>
      <w:r>
        <w:rPr>
          <w:rFonts w:cs="Arial" w:ascii="Arial" w:hAnsi="Arial"/>
          <w:b/>
          <w:color w:val="000000"/>
          <w:sz w:val="20"/>
          <w:szCs w:val="20"/>
          <w:lang w:eastAsia="en-US"/>
        </w:rPr>
        <w:t>DAS OBRIGAÇÕES DA CONTRATANTE E DA CONTRATADA</w:t>
      </w:r>
    </w:p>
    <w:p>
      <w:pPr>
        <w:pStyle w:val="Corpodetexto"/>
        <w:numPr>
          <w:ilvl w:val="1"/>
          <w:numId w:val="18"/>
        </w:numPr>
        <w:spacing w:lineRule="auto" w:line="276" w:before="120" w:after="120"/>
        <w:jc w:val="both"/>
        <w:rPr/>
      </w:pPr>
      <w:r>
        <w:rPr>
          <w:rFonts w:cs="Arial" w:ascii="Arial" w:hAnsi="Arial"/>
          <w:sz w:val="20"/>
          <w:szCs w:val="20"/>
        </w:rPr>
        <w:t xml:space="preserve">As obrigações da Contratante e da Contratada </w:t>
      </w:r>
      <w:r>
        <w:rPr>
          <w:rFonts w:cs="Arial" w:ascii="Arial" w:hAnsi="Arial"/>
          <w:sz w:val="20"/>
          <w:szCs w:val="20"/>
          <w:lang w:eastAsia="en-US"/>
        </w:rPr>
        <w:t>são as estabelecidas neste Edital e seus anexos, na proposta apresentada e no Projeto Básico – ANEXOS</w:t>
      </w:r>
      <w:r>
        <w:rPr>
          <w:rStyle w:val="Manoel"/>
          <w:rFonts w:ascii="Arial" w:hAnsi="Arial"/>
          <w:color w:val="00000A"/>
          <w:sz w:val="20"/>
          <w:szCs w:val="20"/>
        </w:rPr>
        <w:t xml:space="preserve"> I, II e III.</w:t>
      </w:r>
    </w:p>
    <w:p>
      <w:pPr>
        <w:pStyle w:val="Corpodetexto"/>
        <w:spacing w:lineRule="auto" w:line="276" w:before="120" w:after="120"/>
        <w:ind w:left="1340" w:hanging="0"/>
        <w:jc w:val="both"/>
        <w:rPr>
          <w:rStyle w:val="Manoel"/>
          <w:rFonts w:ascii="Arial" w:hAnsi="Arial"/>
          <w:sz w:val="20"/>
          <w:szCs w:val="20"/>
        </w:rPr>
      </w:pPr>
      <w:r>
        <w:rPr>
          <w:rFonts w:ascii="Arial" w:hAnsi="Arial"/>
          <w:sz w:val="20"/>
          <w:szCs w:val="20"/>
        </w:rPr>
      </w:r>
    </w:p>
    <w:p>
      <w:pPr>
        <w:pStyle w:val="Nivel1"/>
        <w:numPr>
          <w:ilvl w:val="0"/>
          <w:numId w:val="18"/>
        </w:numPr>
        <w:ind w:left="0" w:hanging="0"/>
        <w:rPr>
          <w:rFonts w:ascii="Arial" w:hAnsi="Arial"/>
        </w:rPr>
      </w:pPr>
      <w:r>
        <w:rPr>
          <w:rFonts w:ascii="Arial" w:hAnsi="Arial"/>
          <w:sz w:val="20"/>
          <w:szCs w:val="20"/>
        </w:rPr>
        <w:t>DO PAGAMENTO</w:t>
      </w:r>
    </w:p>
    <w:p>
      <w:pPr>
        <w:pStyle w:val="ListParagraph"/>
        <w:widowControl/>
        <w:numPr>
          <w:ilvl w:val="1"/>
          <w:numId w:val="18"/>
        </w:numPr>
        <w:suppressAutoHyphens w:val="false"/>
        <w:spacing w:lineRule="auto" w:line="276" w:before="120" w:after="120"/>
        <w:contextualSpacing/>
        <w:jc w:val="both"/>
        <w:rPr>
          <w:rFonts w:ascii="Arial" w:hAnsi="Arial"/>
          <w:sz w:val="20"/>
          <w:szCs w:val="20"/>
        </w:rPr>
      </w:pPr>
      <w:r>
        <w:rPr>
          <w:rFonts w:cs="Arial" w:ascii="Arial" w:hAnsi="Arial"/>
          <w:color w:val="000000"/>
          <w:sz w:val="20"/>
          <w:szCs w:val="20"/>
        </w:rPr>
        <w:t>As regras</w:t>
      </w:r>
      <w:r>
        <w:rPr>
          <w:rFonts w:eastAsia="Arial" w:cs="Arial" w:ascii="Arial" w:hAnsi="Arial"/>
          <w:color w:val="000000"/>
          <w:sz w:val="20"/>
          <w:szCs w:val="20"/>
        </w:rPr>
        <w:t xml:space="preserve"> acerca</w:t>
      </w:r>
      <w:r>
        <w:rPr>
          <w:rFonts w:cs="Arial" w:ascii="Arial" w:hAnsi="Arial"/>
          <w:color w:val="000000"/>
          <w:sz w:val="20"/>
          <w:szCs w:val="20"/>
        </w:rPr>
        <w:t xml:space="preserve"> do pagamento são as estabelecidas no Projeto Básico, anexo a este Edital.</w:t>
      </w:r>
    </w:p>
    <w:p>
      <w:pPr>
        <w:pStyle w:val="Nivel1"/>
        <w:numPr>
          <w:ilvl w:val="0"/>
          <w:numId w:val="18"/>
        </w:numPr>
        <w:ind w:left="0" w:hanging="0"/>
        <w:rPr>
          <w:rFonts w:ascii="Arial" w:hAnsi="Arial"/>
        </w:rPr>
      </w:pPr>
      <w:r>
        <w:rPr>
          <w:rFonts w:ascii="Arial" w:hAnsi="Arial"/>
          <w:sz w:val="20"/>
          <w:szCs w:val="20"/>
        </w:rPr>
        <w:t>DAS SANÇÕES ADMINISTRATIVAS</w:t>
      </w:r>
    </w:p>
    <w:p>
      <w:pPr>
        <w:pStyle w:val="Nivel2"/>
        <w:numPr>
          <w:ilvl w:val="1"/>
          <w:numId w:val="19"/>
        </w:numPr>
        <w:ind w:left="425" w:hanging="0"/>
        <w:rPr>
          <w:rFonts w:ascii="Arial" w:hAnsi="Arial" w:cs="Arial"/>
          <w:color w:val="000000"/>
        </w:rPr>
      </w:pPr>
      <w:r>
        <w:rPr>
          <w:rFonts w:cs="Arial" w:ascii="Arial" w:hAnsi="Arial"/>
          <w:sz w:val="20"/>
          <w:szCs w:val="20"/>
        </w:rPr>
        <w:t xml:space="preserve">Comete infração administrativa nos termos da Lei nº 8.666, de 1993, o </w:t>
      </w:r>
      <w:r>
        <w:rPr>
          <w:rFonts w:cs="Arial" w:ascii="Arial" w:hAnsi="Arial"/>
          <w:color w:val="000000"/>
          <w:sz w:val="20"/>
          <w:szCs w:val="20"/>
        </w:rPr>
        <w:t>licitante/adjudicatário que:</w:t>
      </w:r>
    </w:p>
    <w:p>
      <w:pPr>
        <w:pStyle w:val="Normal"/>
        <w:widowControl/>
        <w:numPr>
          <w:ilvl w:val="2"/>
          <w:numId w:val="19"/>
        </w:numPr>
        <w:suppressAutoHyphens w:val="false"/>
        <w:spacing w:lineRule="auto" w:line="276" w:before="120" w:after="120"/>
        <w:ind w:left="1134" w:hanging="0"/>
        <w:jc w:val="both"/>
        <w:rPr>
          <w:rFonts w:ascii="Arial" w:hAnsi="Arial" w:cs="Arial"/>
          <w:color w:val="000000"/>
          <w:sz w:val="20"/>
        </w:rPr>
      </w:pPr>
      <w:r>
        <w:rPr>
          <w:rFonts w:cs="Arial" w:ascii="Arial" w:hAnsi="Arial"/>
          <w:color w:val="000000"/>
          <w:sz w:val="20"/>
          <w:szCs w:val="20"/>
        </w:rPr>
        <w:t>não assinar o termo de contrato, quando convocado dentro do prazo de validade da proposta;</w:t>
      </w:r>
    </w:p>
    <w:p>
      <w:pPr>
        <w:pStyle w:val="Normal"/>
        <w:widowControl/>
        <w:numPr>
          <w:ilvl w:val="2"/>
          <w:numId w:val="19"/>
        </w:numPr>
        <w:suppressAutoHyphens w:val="false"/>
        <w:spacing w:lineRule="auto" w:line="276" w:before="120" w:after="120"/>
        <w:ind w:left="1134" w:hanging="0"/>
        <w:jc w:val="both"/>
        <w:rPr>
          <w:rFonts w:ascii="Arial" w:hAnsi="Arial" w:cs="Arial"/>
          <w:color w:val="000000"/>
          <w:sz w:val="20"/>
        </w:rPr>
      </w:pPr>
      <w:r>
        <w:rPr>
          <w:rFonts w:cs="Arial" w:ascii="Arial" w:hAnsi="Arial"/>
          <w:color w:val="000000"/>
          <w:sz w:val="20"/>
          <w:szCs w:val="20"/>
        </w:rPr>
        <w:t>apresentar documentação falsa;</w:t>
      </w:r>
    </w:p>
    <w:p>
      <w:pPr>
        <w:pStyle w:val="Normal"/>
        <w:widowControl/>
        <w:numPr>
          <w:ilvl w:val="2"/>
          <w:numId w:val="19"/>
        </w:numPr>
        <w:suppressAutoHyphens w:val="false"/>
        <w:spacing w:lineRule="auto" w:line="276" w:before="120" w:after="120"/>
        <w:ind w:left="1134" w:hanging="0"/>
        <w:jc w:val="both"/>
        <w:rPr>
          <w:rFonts w:ascii="Arial" w:hAnsi="Arial" w:cs="Arial"/>
          <w:color w:val="000000"/>
          <w:sz w:val="20"/>
        </w:rPr>
      </w:pPr>
      <w:r>
        <w:rPr>
          <w:rFonts w:cs="Arial" w:ascii="Arial" w:hAnsi="Arial"/>
          <w:color w:val="000000"/>
          <w:sz w:val="20"/>
          <w:szCs w:val="20"/>
        </w:rPr>
        <w:t>deixar de entregar os documentos exigidos no certame;</w:t>
      </w:r>
    </w:p>
    <w:p>
      <w:pPr>
        <w:pStyle w:val="Normal"/>
        <w:widowControl/>
        <w:numPr>
          <w:ilvl w:val="2"/>
          <w:numId w:val="19"/>
        </w:numPr>
        <w:suppressAutoHyphens w:val="false"/>
        <w:spacing w:lineRule="auto" w:line="276" w:before="120" w:after="120"/>
        <w:ind w:left="1134" w:hanging="0"/>
        <w:jc w:val="both"/>
        <w:rPr>
          <w:rFonts w:ascii="Arial" w:hAnsi="Arial" w:cs="Arial"/>
          <w:color w:val="000000"/>
          <w:sz w:val="20"/>
        </w:rPr>
      </w:pPr>
      <w:r>
        <w:rPr>
          <w:rFonts w:cs="Arial" w:ascii="Arial" w:hAnsi="Arial"/>
          <w:color w:val="000000"/>
          <w:sz w:val="20"/>
          <w:szCs w:val="20"/>
        </w:rPr>
        <w:t>ensejar o retardamento da execução do objeto;</w:t>
      </w:r>
    </w:p>
    <w:p>
      <w:pPr>
        <w:pStyle w:val="Normal"/>
        <w:widowControl/>
        <w:numPr>
          <w:ilvl w:val="2"/>
          <w:numId w:val="19"/>
        </w:numPr>
        <w:suppressAutoHyphens w:val="false"/>
        <w:spacing w:lineRule="auto" w:line="276" w:before="120" w:after="120"/>
        <w:ind w:left="1134" w:hanging="0"/>
        <w:jc w:val="both"/>
        <w:rPr>
          <w:rFonts w:ascii="Arial" w:hAnsi="Arial" w:cs="Arial"/>
          <w:color w:val="000000"/>
          <w:sz w:val="20"/>
        </w:rPr>
      </w:pPr>
      <w:r>
        <w:rPr>
          <w:rFonts w:cs="Arial" w:ascii="Arial" w:hAnsi="Arial"/>
          <w:color w:val="000000"/>
          <w:sz w:val="20"/>
          <w:szCs w:val="20"/>
        </w:rPr>
        <w:t>não mantiver a proposta;</w:t>
      </w:r>
    </w:p>
    <w:p>
      <w:pPr>
        <w:pStyle w:val="Normal"/>
        <w:widowControl/>
        <w:numPr>
          <w:ilvl w:val="2"/>
          <w:numId w:val="19"/>
        </w:numPr>
        <w:suppressAutoHyphens w:val="false"/>
        <w:spacing w:lineRule="auto" w:line="276" w:before="120" w:after="120"/>
        <w:ind w:left="1134" w:hanging="0"/>
        <w:jc w:val="both"/>
        <w:rPr>
          <w:rFonts w:ascii="Arial" w:hAnsi="Arial" w:cs="Arial"/>
          <w:color w:val="000000"/>
          <w:sz w:val="20"/>
        </w:rPr>
      </w:pPr>
      <w:r>
        <w:rPr>
          <w:rFonts w:cs="Arial" w:ascii="Arial" w:hAnsi="Arial"/>
          <w:color w:val="000000"/>
          <w:sz w:val="20"/>
          <w:szCs w:val="20"/>
        </w:rPr>
        <w:t>cometer fraude fiscal;</w:t>
      </w:r>
    </w:p>
    <w:p>
      <w:pPr>
        <w:pStyle w:val="Normal"/>
        <w:widowControl/>
        <w:numPr>
          <w:ilvl w:val="2"/>
          <w:numId w:val="19"/>
        </w:numPr>
        <w:suppressAutoHyphens w:val="false"/>
        <w:spacing w:lineRule="auto" w:line="276" w:before="120" w:after="120"/>
        <w:ind w:left="1134" w:hanging="0"/>
        <w:jc w:val="both"/>
        <w:rPr>
          <w:rFonts w:ascii="Arial" w:hAnsi="Arial" w:cs="Arial"/>
          <w:color w:val="000000"/>
          <w:sz w:val="20"/>
        </w:rPr>
      </w:pPr>
      <w:r>
        <w:rPr>
          <w:rFonts w:cs="Arial" w:ascii="Arial" w:hAnsi="Arial"/>
          <w:color w:val="000000"/>
          <w:sz w:val="20"/>
          <w:szCs w:val="20"/>
        </w:rPr>
        <w:t>comportar-se de modo inidôneo.</w:t>
      </w:r>
    </w:p>
    <w:p>
      <w:pPr>
        <w:pStyle w:val="ListParagraph"/>
        <w:tabs>
          <w:tab w:val="left" w:pos="1980" w:leader="none"/>
        </w:tabs>
        <w:ind w:left="480" w:hanging="0"/>
        <w:rPr>
          <w:rFonts w:ascii="Arial" w:hAnsi="Arial"/>
          <w:sz w:val="20"/>
          <w:szCs w:val="20"/>
        </w:rPr>
      </w:pPr>
      <w:r>
        <w:rPr>
          <w:rFonts w:cs="Arial" w:ascii="Arial" w:hAnsi="Arial"/>
          <w:sz w:val="20"/>
          <w:szCs w:val="20"/>
          <w:lang w:eastAsia="en-US"/>
        </w:rPr>
        <w:tab/>
      </w:r>
    </w:p>
    <w:p>
      <w:pPr>
        <w:pStyle w:val="Nivel2"/>
        <w:numPr>
          <w:ilvl w:val="1"/>
          <w:numId w:val="19"/>
        </w:numPr>
        <w:ind w:left="425" w:hanging="0"/>
        <w:rPr>
          <w:rFonts w:ascii="Arial" w:hAnsi="Arial"/>
          <w:sz w:val="20"/>
          <w:szCs w:val="20"/>
        </w:rPr>
      </w:pPr>
      <w:r>
        <w:rPr>
          <w:rFonts w:cs="Arial" w:ascii="Arial" w:hAnsi="Arial"/>
          <w:color w:val="000000"/>
          <w:sz w:val="20"/>
          <w:szCs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Nivel2"/>
        <w:numPr>
          <w:ilvl w:val="0"/>
          <w:numId w:val="0"/>
        </w:numPr>
        <w:ind w:left="425" w:hanging="0"/>
        <w:rPr>
          <w:rFonts w:ascii="Arial" w:hAnsi="Arial" w:cs="Arial"/>
          <w:color w:val="000000"/>
          <w:sz w:val="20"/>
          <w:szCs w:val="20"/>
        </w:rPr>
      </w:pPr>
      <w:r>
        <w:rPr>
          <w:rFonts w:cs="Arial" w:ascii="Arial" w:hAnsi="Arial"/>
          <w:color w:val="000000"/>
          <w:sz w:val="20"/>
          <w:szCs w:val="20"/>
        </w:rPr>
      </w:r>
    </w:p>
    <w:p>
      <w:pPr>
        <w:pStyle w:val="Nivel2"/>
        <w:numPr>
          <w:ilvl w:val="1"/>
          <w:numId w:val="19"/>
        </w:numPr>
        <w:ind w:left="425" w:hanging="0"/>
        <w:rPr>
          <w:rFonts w:ascii="Arial" w:hAnsi="Arial" w:cs="Arial"/>
          <w:color w:val="000000"/>
        </w:rPr>
      </w:pPr>
      <w:r>
        <w:rPr>
          <w:rFonts w:cs="Arial" w:ascii="Arial" w:hAnsi="Arial"/>
          <w:sz w:val="20"/>
          <w:szCs w:val="20"/>
          <w:shd w:fill="FFFFFF" w:val="clear"/>
        </w:rPr>
        <w:t>O licitante/adjudicatário que cometer qualquer das infrações acima discriminadas ficará sujeita, sem prejuízo da responsabilidade civil e criminal, às seguintes sanções:</w:t>
      </w:r>
    </w:p>
    <w:p>
      <w:pPr>
        <w:pStyle w:val="Nivel3"/>
        <w:numPr>
          <w:ilvl w:val="2"/>
          <w:numId w:val="19"/>
        </w:numPr>
        <w:ind w:left="1134" w:hanging="0"/>
        <w:rPr>
          <w:rFonts w:ascii="Arial" w:hAnsi="Arial"/>
        </w:rPr>
      </w:pPr>
      <w:r>
        <w:rPr>
          <w:rFonts w:ascii="Arial" w:hAnsi="Arial"/>
          <w:sz w:val="20"/>
          <w:szCs w:val="20"/>
        </w:rPr>
        <w:t>advertência por faltas leves, assim entendidas aquelas que não acarretem prejuízos significativos para a Contratante;</w:t>
      </w:r>
    </w:p>
    <w:p>
      <w:pPr>
        <w:pStyle w:val="ListParagraph"/>
        <w:numPr>
          <w:ilvl w:val="2"/>
          <w:numId w:val="20"/>
        </w:numPr>
        <w:spacing w:lineRule="auto" w:line="276" w:before="120" w:after="120"/>
        <w:ind w:left="1134" w:hanging="0"/>
        <w:contextualSpacing/>
        <w:rPr/>
      </w:pPr>
      <w:r>
        <w:rPr>
          <w:rFonts w:cs="Arial" w:ascii="Arial" w:hAnsi="Arial"/>
          <w:color w:val="000000"/>
          <w:sz w:val="20"/>
          <w:szCs w:val="20"/>
        </w:rPr>
        <w:t>Multa, conforme consta no projeto básico;</w:t>
      </w:r>
    </w:p>
    <w:p>
      <w:pPr>
        <w:pStyle w:val="ListParagraph"/>
        <w:spacing w:lineRule="auto" w:line="276" w:before="120" w:after="120"/>
        <w:ind w:left="1134" w:hanging="0"/>
        <w:contextualSpacing/>
        <w:rPr>
          <w:rFonts w:ascii="Arial" w:hAnsi="Arial" w:cs="Arial"/>
          <w:sz w:val="20"/>
          <w:szCs w:val="20"/>
        </w:rPr>
      </w:pPr>
      <w:r>
        <w:rPr>
          <w:rFonts w:cs="Arial" w:ascii="Arial" w:hAnsi="Arial"/>
          <w:sz w:val="20"/>
          <w:szCs w:val="20"/>
        </w:rPr>
      </w:r>
    </w:p>
    <w:p>
      <w:pPr>
        <w:pStyle w:val="ListParagraph"/>
        <w:numPr>
          <w:ilvl w:val="2"/>
          <w:numId w:val="20"/>
        </w:numPr>
        <w:spacing w:lineRule="auto" w:line="276" w:before="120" w:after="120"/>
        <w:ind w:left="1134" w:hanging="0"/>
        <w:contextualSpacing/>
        <w:rPr>
          <w:rFonts w:ascii="Arial" w:hAnsi="Arial" w:cs="Arial"/>
          <w:sz w:val="20"/>
        </w:rPr>
      </w:pPr>
      <w:r>
        <w:rPr>
          <w:rFonts w:cs="Arial" w:ascii="Arial" w:hAnsi="Arial"/>
          <w:sz w:val="20"/>
          <w:szCs w:val="20"/>
        </w:rPr>
        <w:t>Suspensão de licitar e impedimento de contratar com o órgão, entidade ou unidade administrativa pela qual a Administração Pública opera e atua concretamente, pelo prazo de até dois anos;</w:t>
      </w:r>
    </w:p>
    <w:p>
      <w:pPr>
        <w:pStyle w:val="Nivel3"/>
        <w:numPr>
          <w:ilvl w:val="2"/>
          <w:numId w:val="20"/>
        </w:numPr>
        <w:ind w:left="1134" w:hanging="0"/>
        <w:rPr>
          <w:rFonts w:ascii="Arial" w:hAnsi="Arial"/>
        </w:rPr>
      </w:pPr>
      <w:r>
        <w:rPr>
          <w:rFonts w:ascii="Arial" w:hAnsi="Arial"/>
          <w:sz w:val="20"/>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ListParagraph"/>
        <w:widowControl/>
        <w:numPr>
          <w:ilvl w:val="1"/>
          <w:numId w:val="20"/>
        </w:numPr>
        <w:suppressAutoHyphens w:val="false"/>
        <w:spacing w:lineRule="auto" w:line="276" w:before="120" w:after="120"/>
        <w:ind w:left="1134" w:hanging="0"/>
        <w:contextualSpacing/>
        <w:jc w:val="both"/>
        <w:rPr>
          <w:rFonts w:ascii="Arial" w:hAnsi="Arial" w:cs="Arial"/>
          <w:color w:val="000000"/>
          <w:sz w:val="20"/>
        </w:rPr>
      </w:pPr>
      <w:r>
        <w:rPr>
          <w:rFonts w:cs="Arial" w:ascii="Arial" w:hAnsi="Arial"/>
          <w:color w:val="000000"/>
          <w:sz w:val="20"/>
          <w:szCs w:val="20"/>
        </w:rPr>
        <w:t>A penalidade de multa pode ser aplicada cumulativamente com as demais sanções.</w:t>
      </w:r>
    </w:p>
    <w:p>
      <w:pPr>
        <w:pStyle w:val="Nivel2"/>
        <w:numPr>
          <w:ilvl w:val="1"/>
          <w:numId w:val="19"/>
        </w:numPr>
        <w:ind w:left="425" w:hanging="0"/>
        <w:rPr>
          <w:rFonts w:ascii="Arial" w:hAnsi="Arial" w:cs="Arial"/>
        </w:rPr>
      </w:pPr>
      <w:r>
        <w:rPr>
          <w:rFonts w:cs="Arial" w:ascii="Arial" w:hAnsi="Arial"/>
          <w:sz w:val="20"/>
          <w:szCs w:val="2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numPr>
          <w:ilvl w:val="1"/>
          <w:numId w:val="19"/>
        </w:numPr>
        <w:ind w:left="425" w:hanging="0"/>
        <w:rPr>
          <w:rFonts w:ascii="Arial" w:hAnsi="Arial" w:cs="Arial"/>
        </w:rPr>
      </w:pPr>
      <w:r>
        <w:rPr>
          <w:rFonts w:cs="Arial" w:ascii="Arial" w:hAnsi="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numPr>
          <w:ilvl w:val="1"/>
          <w:numId w:val="19"/>
        </w:numPr>
        <w:ind w:left="425" w:hanging="0"/>
        <w:rPr>
          <w:rFonts w:ascii="Arial" w:hAnsi="Arial" w:cs="Arial"/>
        </w:rPr>
      </w:pPr>
      <w:r>
        <w:rPr>
          <w:rFonts w:cs="Arial" w:ascii="Arial" w:hAnsi="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ivel2"/>
        <w:numPr>
          <w:ilvl w:val="1"/>
          <w:numId w:val="19"/>
        </w:numPr>
        <w:ind w:left="425" w:hanging="0"/>
        <w:rPr>
          <w:rFonts w:ascii="Arial" w:hAnsi="Arial" w:cs="Arial"/>
        </w:rPr>
      </w:pPr>
      <w:r>
        <w:rPr>
          <w:rFonts w:cs="Arial" w:ascii="Arial" w:hAnsi="Arial"/>
          <w:sz w:val="20"/>
          <w:szCs w:val="20"/>
        </w:rPr>
        <w:t>Caso o valor da multa não seja suficiente para cobrir os prejuízos causados pela conduta do licitante, a União ou Entidade poderá cobrar o valor remanescente judicialmente, conforme artigo 419 do Código Civil.</w:t>
      </w:r>
    </w:p>
    <w:p>
      <w:pPr>
        <w:pStyle w:val="Nivel2"/>
        <w:numPr>
          <w:ilvl w:val="1"/>
          <w:numId w:val="19"/>
        </w:numPr>
        <w:ind w:left="425" w:hanging="0"/>
        <w:rPr>
          <w:rFonts w:ascii="Arial" w:hAnsi="Arial" w:cs="Arial"/>
        </w:rPr>
      </w:pPr>
      <w:r>
        <w:rPr>
          <w:rFonts w:cs="Arial" w:ascii="Arial" w:hAnsi="Arial"/>
          <w:sz w:val="20"/>
          <w:szCs w:val="20"/>
        </w:rPr>
        <w:t>A aplicação de qualquer das penalidades previstas realizar-se-á em processo administrativo que assegurará o contraditório e a ampla defesa observando-se o procedimento previsto na Lei nº 8.666, de 1993, e subsidiariamente na Lei nº 9.784, de 1999.</w:t>
      </w:r>
    </w:p>
    <w:p>
      <w:pPr>
        <w:pStyle w:val="Nivel2"/>
        <w:numPr>
          <w:ilvl w:val="1"/>
          <w:numId w:val="21"/>
        </w:numPr>
        <w:ind w:left="425" w:hanging="0"/>
        <w:rPr>
          <w:rFonts w:ascii="Arial" w:hAnsi="Arial" w:cs="Arial"/>
          <w:color w:val="000000"/>
        </w:rPr>
      </w:pPr>
      <w:r>
        <w:rPr>
          <w:rFonts w:cs="Arial" w:ascii="Arial" w:hAnsi="Arial"/>
          <w:sz w:val="20"/>
          <w:szCs w:val="20"/>
        </w:rPr>
        <w:t>A autoridade competente, na aplicação das sanções, levará em consideração a gravidade da conduta do infrator, o caráter educativo da pena, bem como o dano causado à Administração, observado o princípio da proporcionalidade.</w:t>
      </w:r>
    </w:p>
    <w:p>
      <w:pPr>
        <w:pStyle w:val="Nivel2"/>
        <w:numPr>
          <w:ilvl w:val="1"/>
          <w:numId w:val="21"/>
        </w:numPr>
        <w:ind w:left="425" w:hanging="0"/>
        <w:rPr>
          <w:rFonts w:ascii="Arial" w:hAnsi="Arial" w:cs="Arial"/>
          <w:color w:val="000000"/>
        </w:rPr>
      </w:pPr>
      <w:r>
        <w:rPr>
          <w:rFonts w:cs="Arial" w:ascii="Arial" w:hAnsi="Arial"/>
          <w:sz w:val="20"/>
          <w:szCs w:val="20"/>
        </w:rPr>
        <w:t>As penalidades serão obrigatoriamente registradas no SICAF.</w:t>
      </w:r>
    </w:p>
    <w:p>
      <w:pPr>
        <w:pStyle w:val="Nivel2"/>
        <w:numPr>
          <w:ilvl w:val="1"/>
          <w:numId w:val="21"/>
        </w:numPr>
        <w:ind w:left="425" w:hanging="0"/>
        <w:rPr>
          <w:rFonts w:ascii="Arial" w:hAnsi="Arial" w:cs="Arial"/>
          <w:color w:val="000000"/>
        </w:rPr>
      </w:pPr>
      <w:r>
        <w:rPr>
          <w:rFonts w:cs="Arial" w:ascii="Arial" w:hAnsi="Arial"/>
          <w:color w:val="000000"/>
          <w:sz w:val="20"/>
          <w:szCs w:val="20"/>
        </w:rPr>
        <w:t>As sanções por atos praticados no decorrer da contratação estão previstas no Projeto Básico.</w:t>
      </w:r>
    </w:p>
    <w:p>
      <w:pPr>
        <w:pStyle w:val="Nivel1"/>
        <w:numPr>
          <w:ilvl w:val="0"/>
          <w:numId w:val="18"/>
        </w:numPr>
        <w:ind w:left="0" w:hanging="0"/>
        <w:rPr>
          <w:rFonts w:ascii="Arial" w:hAnsi="Arial"/>
        </w:rPr>
      </w:pPr>
      <w:r>
        <w:rPr>
          <w:rFonts w:ascii="Arial" w:hAnsi="Arial"/>
          <w:sz w:val="20"/>
          <w:szCs w:val="20"/>
        </w:rPr>
        <w:t>DA IMPUGNAÇÃO</w:t>
      </w:r>
    </w:p>
    <w:p>
      <w:pPr>
        <w:pStyle w:val="Nivel2"/>
        <w:numPr>
          <w:ilvl w:val="1"/>
          <w:numId w:val="18"/>
        </w:numPr>
        <w:ind w:left="425" w:hanging="0"/>
        <w:rPr>
          <w:rFonts w:ascii="Arial" w:hAnsi="Arial" w:cs="Arial"/>
        </w:rPr>
      </w:pPr>
      <w:r>
        <w:rPr>
          <w:rFonts w:cs="Arial" w:ascii="Arial" w:hAnsi="Arial"/>
          <w:sz w:val="20"/>
          <w:szCs w:val="20"/>
        </w:rPr>
        <w:t xml:space="preserve">Decairá do direito de impugnar os termos deste Convite perante esta Administração, o licitante que não o fizer até o segundo dia útil que anteceder a abertura dos envelopes com as propostas, pelas falhas ou irregularidades que viciariam este Convite, hipótese em que tal comunicação não terá efeito de recurso. </w:t>
      </w:r>
    </w:p>
    <w:p>
      <w:pPr>
        <w:pStyle w:val="Nivel2"/>
        <w:numPr>
          <w:ilvl w:val="1"/>
          <w:numId w:val="18"/>
        </w:numPr>
        <w:ind w:left="425" w:hanging="0"/>
        <w:rPr>
          <w:rFonts w:ascii="Arial" w:hAnsi="Arial" w:cs="Arial"/>
        </w:rPr>
      </w:pPr>
      <w:r>
        <w:rPr>
          <w:rFonts w:cs="Arial" w:ascii="Arial" w:hAnsi="Arial"/>
          <w:sz w:val="20"/>
          <w:szCs w:val="20"/>
        </w:rPr>
        <w:t>A impugnação feita tempestivamente pelo licitante não o impedirá de participar do processo licitatório até o trânsito em julgado da decisão a ela pertinente.</w:t>
      </w:r>
    </w:p>
    <w:p>
      <w:pPr>
        <w:pStyle w:val="Nivel2"/>
        <w:numPr>
          <w:ilvl w:val="1"/>
          <w:numId w:val="18"/>
        </w:numPr>
        <w:ind w:left="425" w:hanging="0"/>
        <w:rPr>
          <w:rFonts w:ascii="Arial" w:hAnsi="Arial"/>
          <w:sz w:val="20"/>
          <w:szCs w:val="20"/>
        </w:rPr>
      </w:pPr>
      <w:r>
        <w:rPr>
          <w:rFonts w:cs="Arial" w:ascii="Arial" w:hAnsi="Arial"/>
          <w:sz w:val="20"/>
          <w:szCs w:val="20"/>
        </w:rPr>
        <w:t>Qualquer cidadão é parte legítima para impugnar este Convite por irregularidade na aplicação da Lei nº 8.666, de 1993, devendo protocolar o pedido até 5 (cinco) dias úteis antes da data fixada para a abertura dos envelopes de habilitação, devendo a Administração julgar e responder à impugnação em até 3 (três) dias úteis, sem prejuízo da faculdade prevista no § 1</w:t>
      </w:r>
      <w:r>
        <w:rPr>
          <w:rFonts w:cs="Arial" w:ascii="Arial" w:hAnsi="Arial"/>
          <w:sz w:val="20"/>
          <w:szCs w:val="20"/>
          <w:u w:val="single"/>
          <w:vertAlign w:val="superscript"/>
        </w:rPr>
        <w:t>o</w:t>
      </w:r>
      <w:r>
        <w:rPr>
          <w:rFonts w:cs="Arial" w:ascii="Arial" w:hAnsi="Arial"/>
          <w:sz w:val="20"/>
          <w:szCs w:val="20"/>
        </w:rPr>
        <w:t xml:space="preserve"> do art. 113 da referida Lei.</w:t>
      </w:r>
    </w:p>
    <w:p>
      <w:pPr>
        <w:pStyle w:val="Normal"/>
        <w:numPr>
          <w:ilvl w:val="1"/>
          <w:numId w:val="18"/>
        </w:numPr>
        <w:ind w:left="425" w:hanging="0"/>
        <w:jc w:val="both"/>
        <w:rPr>
          <w:rFonts w:ascii="Arial" w:hAnsi="Arial"/>
          <w:sz w:val="20"/>
          <w:szCs w:val="20"/>
        </w:rPr>
      </w:pPr>
      <w:r>
        <w:rPr>
          <w:rFonts w:cs="Arial" w:ascii="Arial" w:hAnsi="Arial"/>
          <w:sz w:val="20"/>
          <w:szCs w:val="20"/>
        </w:rPr>
        <w:t xml:space="preserve">A impugnação poderá ser realizada por forma eletrônica, pelo e-mail </w:t>
      </w:r>
      <w:r>
        <w:rPr>
          <w:rFonts w:cs="Arial" w:ascii="Arial" w:hAnsi="Arial"/>
          <w:color w:val="0000FF"/>
          <w:sz w:val="20"/>
          <w:szCs w:val="20"/>
        </w:rPr>
        <w:t>cpl</w:t>
      </w:r>
      <w:r>
        <w:rPr>
          <w:rFonts w:ascii="Arial" w:hAnsi="Arial"/>
          <w:color w:val="0000FF"/>
          <w:sz w:val="20"/>
          <w:szCs w:val="20"/>
        </w:rPr>
        <w:t>@camaqua.ifsul.edu.br</w:t>
      </w:r>
      <w:r>
        <w:rPr>
          <w:rFonts w:ascii="Arial" w:hAnsi="Arial"/>
          <w:sz w:val="20"/>
          <w:szCs w:val="20"/>
        </w:rPr>
        <w:t xml:space="preserve"> ou por petição dirigida ou protocolada no endereço: </w:t>
      </w:r>
      <w:r>
        <w:rPr>
          <w:rFonts w:ascii="Arial" w:hAnsi="Arial"/>
          <w:b/>
          <w:bCs/>
          <w:sz w:val="20"/>
          <w:szCs w:val="20"/>
        </w:rPr>
        <w:t>Rua Ana Gonçalves da Silva n° 901, Bairro Olaria, Camaquã/RS CEP 96180-000.</w:t>
      </w:r>
    </w:p>
    <w:p>
      <w:pPr>
        <w:pStyle w:val="Nivel1"/>
        <w:numPr>
          <w:ilvl w:val="0"/>
          <w:numId w:val="18"/>
        </w:numPr>
        <w:rPr>
          <w:rFonts w:ascii="Arial" w:hAnsi="Arial"/>
          <w:sz w:val="20"/>
          <w:szCs w:val="20"/>
        </w:rPr>
      </w:pPr>
      <w:r>
        <w:rPr>
          <w:rFonts w:ascii="Arial" w:hAnsi="Arial"/>
          <w:sz w:val="20"/>
          <w:szCs w:val="20"/>
        </w:rPr>
        <w:t>DAS DISPOSIÇÕES GERAIS</w:t>
      </w:r>
    </w:p>
    <w:p>
      <w:pPr>
        <w:pStyle w:val="Nivel2"/>
        <w:numPr>
          <w:ilvl w:val="1"/>
          <w:numId w:val="18"/>
        </w:numPr>
        <w:ind w:left="425" w:hanging="0"/>
        <w:rPr>
          <w:rFonts w:ascii="Arial" w:hAnsi="Arial" w:cs="Arial"/>
        </w:rPr>
      </w:pPr>
      <w:r>
        <w:rPr>
          <w:rFonts w:cs="Arial" w:ascii="Arial" w:hAnsi="Arial"/>
          <w:sz w:val="20"/>
          <w:szCs w:val="20"/>
        </w:rPr>
        <w:t xml:space="preserve"> </w:t>
      </w:r>
      <w:r>
        <w:rPr>
          <w:rFonts w:cs="Arial" w:ascii="Arial" w:hAnsi="Arial"/>
          <w:sz w:val="20"/>
          <w:szCs w:val="20"/>
        </w:rPr>
        <w:t>A autoridade competente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pPr>
        <w:pStyle w:val="Nivel2"/>
        <w:numPr>
          <w:ilvl w:val="1"/>
          <w:numId w:val="18"/>
        </w:numPr>
        <w:ind w:left="425" w:hanging="0"/>
        <w:rPr>
          <w:rFonts w:ascii="Arial" w:hAnsi="Arial" w:cs="Arial"/>
        </w:rPr>
      </w:pPr>
      <w:r>
        <w:rPr>
          <w:rFonts w:cs="Arial" w:ascii="Arial" w:hAnsi="Arial"/>
          <w:sz w:val="20"/>
          <w:szCs w:val="20"/>
        </w:rPr>
        <w:t>A homologação do resultado desta licitação não implicará direito à contratação.</w:t>
      </w:r>
    </w:p>
    <w:p>
      <w:pPr>
        <w:pStyle w:val="Nivel2"/>
        <w:numPr>
          <w:ilvl w:val="1"/>
          <w:numId w:val="18"/>
        </w:numPr>
        <w:ind w:left="425" w:hanging="0"/>
        <w:rPr>
          <w:rFonts w:ascii="Arial" w:hAnsi="Arial" w:cs="Arial"/>
        </w:rPr>
      </w:pPr>
      <w:r>
        <w:rPr>
          <w:rFonts w:cs="Arial" w:ascii="Arial" w:hAnsi="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pPr>
        <w:pStyle w:val="Nivel2"/>
        <w:numPr>
          <w:ilvl w:val="1"/>
          <w:numId w:val="18"/>
        </w:numPr>
        <w:ind w:left="425" w:hanging="0"/>
        <w:rPr>
          <w:rFonts w:ascii="Arial" w:hAnsi="Arial"/>
          <w:sz w:val="20"/>
          <w:szCs w:val="20"/>
        </w:rPr>
      </w:pPr>
      <w:r>
        <w:rPr>
          <w:rFonts w:cs="Arial" w:ascii="Arial" w:hAnsi="Arial"/>
          <w:sz w:val="20"/>
          <w:szCs w:val="20"/>
        </w:rPr>
        <w:t>A participação na licitação implica plena aceitação, por parte do licitante, das condições estabelecidas neste</w:t>
      </w:r>
      <w:bookmarkStart w:id="2" w:name="_GoBack"/>
      <w:bookmarkEnd w:id="2"/>
      <w:r>
        <w:rPr>
          <w:rFonts w:cs="Arial" w:ascii="Arial" w:hAnsi="Arial"/>
          <w:sz w:val="20"/>
          <w:szCs w:val="20"/>
        </w:rPr>
        <w:t xml:space="preserve"> instrumento convocatório e seus Anexos, bem como da obrigatoriedade do cumprimento das disposições nele contidas.</w:t>
      </w:r>
    </w:p>
    <w:p>
      <w:pPr>
        <w:pStyle w:val="Nivel2"/>
        <w:numPr>
          <w:ilvl w:val="1"/>
          <w:numId w:val="18"/>
        </w:numPr>
        <w:ind w:left="425" w:hanging="0"/>
        <w:rPr>
          <w:rFonts w:ascii="Arial" w:hAnsi="Arial" w:cs="Arial"/>
        </w:rPr>
      </w:pPr>
      <w:r>
        <w:rPr>
          <w:rFonts w:cs="Arial" w:ascii="Arial" w:hAnsi="Arial"/>
          <w:sz w:val="20"/>
          <w:szCs w:val="20"/>
        </w:rPr>
        <w:t>Qualquer modificação no instrumento convocatório exige divulgação pelo mesmo instrumento de publicação em que se deu o texto original, reabrindo-se o prazo inicialmente estabelecido, exceto quando, inquestionavelmente, a alteração não afetar a formulação das propostas.</w:t>
      </w:r>
    </w:p>
    <w:p>
      <w:pPr>
        <w:pStyle w:val="Nivel2"/>
        <w:numPr>
          <w:ilvl w:val="1"/>
          <w:numId w:val="18"/>
        </w:numPr>
        <w:ind w:left="425" w:hanging="0"/>
        <w:rPr>
          <w:rFonts w:ascii="Arial" w:hAnsi="Arial" w:cs="Arial"/>
        </w:rPr>
      </w:pPr>
      <w:r>
        <w:rPr>
          <w:rFonts w:cs="Arial" w:ascii="Arial" w:hAnsi="Arial"/>
          <w:sz w:val="20"/>
          <w:szCs w:val="20"/>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da Comissão em sentido contrário.</w:t>
      </w:r>
    </w:p>
    <w:p>
      <w:pPr>
        <w:pStyle w:val="Nivel2"/>
        <w:numPr>
          <w:ilvl w:val="1"/>
          <w:numId w:val="18"/>
        </w:numPr>
        <w:ind w:left="425" w:hanging="0"/>
        <w:rPr>
          <w:rFonts w:ascii="Arial" w:hAnsi="Arial" w:cs="Arial"/>
        </w:rPr>
      </w:pPr>
      <w:r>
        <w:rPr>
          <w:rFonts w:cs="Arial" w:ascii="Arial" w:hAnsi="Arial"/>
          <w:sz w:val="20"/>
          <w:szCs w:val="20"/>
        </w:rPr>
        <w:t>No julgamento das propostas e da habilitação, a Comissão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8"/>
        </w:numPr>
        <w:ind w:left="425" w:hanging="0"/>
        <w:rPr>
          <w:rFonts w:ascii="Arial" w:hAnsi="Arial" w:cs="Arial"/>
        </w:rPr>
      </w:pPr>
      <w:r>
        <w:rPr>
          <w:rFonts w:cs="Arial" w:ascii="Arial" w:hAnsi="Arial"/>
          <w:sz w:val="20"/>
          <w:szCs w:val="20"/>
        </w:rPr>
        <w:t>É facultada à Comissão ou Autoridade Superior, em qualquer fase da licitação, a promoção de diligência destinada a esclarecer ou complementar a instrução do processo, vedada a inclusão posterior de documento ou informação que deveria constar no ato da sessão pública.</w:t>
      </w:r>
    </w:p>
    <w:p>
      <w:pPr>
        <w:pStyle w:val="Nivel2"/>
        <w:numPr>
          <w:ilvl w:val="1"/>
          <w:numId w:val="18"/>
        </w:numPr>
        <w:ind w:left="425" w:hanging="0"/>
        <w:rPr>
          <w:rFonts w:ascii="Arial" w:hAnsi="Arial"/>
          <w:sz w:val="20"/>
          <w:szCs w:val="20"/>
        </w:rPr>
      </w:pPr>
      <w:r>
        <w:rPr>
          <w:rFonts w:cs="Arial" w:ascii="Arial" w:hAnsi="Arial"/>
          <w:sz w:val="20"/>
          <w:szCs w:val="20"/>
        </w:rPr>
        <w:t>As normas que disciplinam este certame serão sempre interpretadas em favor da ampliação da disputa entre os interessados, desde que não comprometam o interesse da Administração, o princípio da isonomia, a finalidade e a segurança da contratação.</w:t>
      </w:r>
    </w:p>
    <w:p>
      <w:pPr>
        <w:pStyle w:val="Nivel2"/>
        <w:numPr>
          <w:ilvl w:val="1"/>
          <w:numId w:val="18"/>
        </w:numPr>
        <w:ind w:left="425" w:hanging="0"/>
        <w:rPr>
          <w:rFonts w:ascii="Arial" w:hAnsi="Arial" w:cs="Arial"/>
          <w:b/>
          <w:b/>
          <w:highlight w:val="lightGray"/>
          <w:u w:val="single"/>
        </w:rPr>
      </w:pPr>
      <w:r>
        <w:rPr>
          <w:rFonts w:cs="Arial" w:ascii="Arial" w:hAnsi="Arial"/>
          <w:sz w:val="20"/>
          <w:szCs w:val="20"/>
        </w:rPr>
        <w:t>Em caso de cobrança pelo fornecimento de cópia da íntegra deste Convite e de seus anexos, o valor se limitará ao custo efetivo da reprodução gráfica de tais documentos, nos termos do artigo 32, § 5°, da Lei n° 8.666, de 1993.</w:t>
      </w:r>
    </w:p>
    <w:p>
      <w:pPr>
        <w:pStyle w:val="Nivel2"/>
        <w:numPr>
          <w:ilvl w:val="1"/>
          <w:numId w:val="18"/>
        </w:numPr>
        <w:ind w:left="425" w:hanging="0"/>
        <w:rPr>
          <w:rFonts w:ascii="Arial" w:hAnsi="Arial" w:cs="Arial"/>
        </w:rPr>
      </w:pPr>
      <w:r>
        <w:rPr>
          <w:rFonts w:cs="Arial" w:ascii="Arial" w:hAnsi="Arial"/>
          <w:sz w:val="20"/>
          <w:szCs w:val="20"/>
        </w:rPr>
        <w:t>Na contagem dos prazos estabelecidos neste Convite e seus Anexos, excluir-se-á o dia do início e incluir-se-á o do vencimento. Só se iniciam e vencem os prazos em dias de expediente na Administração.</w:t>
      </w:r>
    </w:p>
    <w:p>
      <w:pPr>
        <w:pStyle w:val="Nivel2"/>
        <w:numPr>
          <w:ilvl w:val="1"/>
          <w:numId w:val="18"/>
        </w:numPr>
        <w:ind w:left="425" w:hanging="0"/>
        <w:rPr>
          <w:rFonts w:ascii="Arial" w:hAnsi="Arial" w:cs="Arial"/>
        </w:rPr>
      </w:pPr>
      <w:r>
        <w:rPr>
          <w:rFonts w:cs="Arial" w:ascii="Arial" w:hAnsi="Arial"/>
          <w:sz w:val="20"/>
          <w:szCs w:val="20"/>
        </w:rPr>
        <w:t>O desatendimento de exigências formais não essenciais não importará o afastamento do licitante, desde que seja possível o aproveitamento do ato, observados os princípios da isonomia e do interesse público.</w:t>
      </w:r>
    </w:p>
    <w:p>
      <w:pPr>
        <w:pStyle w:val="Nivel2"/>
        <w:numPr>
          <w:ilvl w:val="1"/>
          <w:numId w:val="18"/>
        </w:numPr>
        <w:ind w:left="425" w:hanging="0"/>
        <w:rPr>
          <w:rFonts w:ascii="Arial" w:hAnsi="Arial" w:cs="Arial"/>
        </w:rPr>
      </w:pPr>
      <w:r>
        <w:rPr>
          <w:rFonts w:cs="Arial" w:ascii="Arial" w:hAnsi="Arial"/>
          <w:sz w:val="20"/>
          <w:szCs w:val="20"/>
        </w:rPr>
        <w:t>Em caso de divergência entre disposições deste Convite e de seus Anexos ou demais peças que compõem o processo, prevalecerão as deste Convite.</w:t>
      </w:r>
    </w:p>
    <w:p>
      <w:pPr>
        <w:pStyle w:val="Nivel2"/>
        <w:numPr>
          <w:ilvl w:val="1"/>
          <w:numId w:val="18"/>
        </w:numPr>
        <w:ind w:left="425" w:hanging="0"/>
        <w:rPr>
          <w:rFonts w:ascii="Arial" w:hAnsi="Arial" w:cs="Arial"/>
          <w:b/>
          <w:b/>
          <w:highlight w:val="lightGray"/>
          <w:u w:val="single"/>
        </w:rPr>
      </w:pPr>
      <w:r>
        <w:rPr>
          <w:rFonts w:cs="Arial" w:ascii="Arial" w:hAnsi="Arial"/>
          <w:sz w:val="20"/>
          <w:szCs w:val="20"/>
        </w:rPr>
        <w:t>Os casos omissos serão dirimidos pela Comissão com base nas disposições da Lei n. 8.666, de 1993, e demais diplomas legais eventualmente aplicáveis.</w:t>
      </w:r>
    </w:p>
    <w:p>
      <w:pPr>
        <w:pStyle w:val="Nivel2"/>
        <w:numPr>
          <w:ilvl w:val="1"/>
          <w:numId w:val="18"/>
        </w:numPr>
        <w:ind w:left="425" w:hanging="0"/>
        <w:rPr/>
      </w:pPr>
      <w:r>
        <w:rPr>
          <w:rFonts w:cs="Arial" w:ascii="Arial" w:hAnsi="Arial"/>
          <w:sz w:val="20"/>
          <w:szCs w:val="20"/>
        </w:rPr>
        <w:t xml:space="preserve">O Convite está disponibilizado, na íntegra, no endereço </w:t>
      </w:r>
      <w:hyperlink r:id="rId5">
        <w:r>
          <w:rPr>
            <w:rStyle w:val="LinkdaInternet"/>
            <w:rFonts w:cs="Arial" w:ascii="Arial" w:hAnsi="Arial"/>
            <w:color w:val="0000FF"/>
            <w:sz w:val="20"/>
            <w:szCs w:val="20"/>
          </w:rPr>
          <w:t>www.comprasngovernamentais.gov.br</w:t>
        </w:r>
      </w:hyperlink>
      <w:r>
        <w:rPr>
          <w:rFonts w:cs="Arial" w:ascii="Arial" w:hAnsi="Arial"/>
          <w:color w:val="0000FF"/>
          <w:sz w:val="20"/>
          <w:szCs w:val="20"/>
        </w:rPr>
        <w:t>,</w:t>
      </w:r>
      <w:r>
        <w:rPr>
          <w:rFonts w:cs="Arial" w:ascii="Arial" w:hAnsi="Arial"/>
          <w:sz w:val="20"/>
          <w:szCs w:val="20"/>
        </w:rPr>
        <w:t xml:space="preserve"> e também poderá ser lido e/ou obtido no endereço </w:t>
      </w:r>
      <w:hyperlink r:id="rId6">
        <w:r>
          <w:rPr>
            <w:rStyle w:val="LinkdaInternet"/>
            <w:rFonts w:cs="Arial" w:ascii="Arial" w:hAnsi="Arial"/>
            <w:color w:val="0000FF"/>
            <w:sz w:val="20"/>
            <w:szCs w:val="20"/>
          </w:rPr>
          <w:t>http://www.camaqua.ifsul.edu.br/licitacoes-2019</w:t>
        </w:r>
      </w:hyperlink>
      <w:r>
        <w:rPr>
          <w:rFonts w:cs="Arial" w:ascii="Arial" w:hAnsi="Arial"/>
          <w:color w:val="000000"/>
          <w:sz w:val="20"/>
          <w:szCs w:val="20"/>
        </w:rPr>
        <w:t xml:space="preserve">, </w:t>
      </w:r>
      <w:r>
        <w:rPr>
          <w:rFonts w:cs="Arial" w:ascii="Arial" w:hAnsi="Arial"/>
          <w:sz w:val="20"/>
          <w:szCs w:val="20"/>
        </w:rPr>
        <w:t xml:space="preserve">nos dias úteis, no horário das 08 horas às </w:t>
      </w:r>
      <w:r>
        <w:rPr>
          <w:rFonts w:cs="Arial" w:ascii="Arial" w:hAnsi="Arial"/>
          <w:color w:val="000000"/>
          <w:sz w:val="20"/>
          <w:szCs w:val="20"/>
        </w:rPr>
        <w:t xml:space="preserve">19 </w:t>
      </w:r>
      <w:r>
        <w:rPr>
          <w:rFonts w:cs="Arial" w:ascii="Arial" w:hAnsi="Arial"/>
          <w:sz w:val="20"/>
          <w:szCs w:val="20"/>
        </w:rPr>
        <w:t>horas, na Rua Ana Gonçalves da Silva, 901, Bairro Olaria, Camaquã/RS e período no qual os autos do processo administrativo permanecerão com vista franqueada aos interessados.</w:t>
      </w:r>
    </w:p>
    <w:p>
      <w:pPr>
        <w:pStyle w:val="Nivel2"/>
        <w:numPr>
          <w:ilvl w:val="1"/>
          <w:numId w:val="18"/>
        </w:numPr>
        <w:ind w:left="425" w:hanging="0"/>
        <w:rPr>
          <w:rFonts w:ascii="Arial" w:hAnsi="Arial"/>
          <w:sz w:val="20"/>
          <w:szCs w:val="20"/>
        </w:rPr>
      </w:pPr>
      <w:r>
        <w:rPr>
          <w:rFonts w:cs="Arial" w:ascii="Arial" w:hAnsi="Arial"/>
          <w:sz w:val="20"/>
          <w:szCs w:val="20"/>
        </w:rPr>
        <w:t>O Foro para solucionar os litígios decorrentes deste Convite é o da Justiça Federal, Seção Judiciária do Estado do Rio Grande do Sul, Subseção Judiciária de Pelotas/RS, com exclusão de qualquer outro, por mais privilegiado que seja.</w:t>
      </w:r>
    </w:p>
    <w:p>
      <w:pPr>
        <w:pStyle w:val="Nivel2"/>
        <w:numPr>
          <w:ilvl w:val="1"/>
          <w:numId w:val="18"/>
        </w:numPr>
        <w:ind w:left="425" w:hanging="0"/>
        <w:rPr>
          <w:rFonts w:ascii="Arial" w:hAnsi="Arial" w:cs="Arial"/>
        </w:rPr>
      </w:pPr>
      <w:r>
        <w:rPr>
          <w:rFonts w:cs="Arial" w:ascii="Arial" w:hAnsi="Arial"/>
          <w:sz w:val="20"/>
          <w:szCs w:val="20"/>
        </w:rPr>
        <w:t>Integram este Convite, para todos os fins e efeitos, os seguintes anexos:</w:t>
      </w:r>
    </w:p>
    <w:p>
      <w:pPr>
        <w:pStyle w:val="Nivel3"/>
        <w:numPr>
          <w:ilvl w:val="2"/>
          <w:numId w:val="18"/>
        </w:numPr>
        <w:tabs>
          <w:tab w:val="left" w:pos="2268" w:leader="none"/>
        </w:tabs>
        <w:ind w:left="1134" w:hanging="0"/>
        <w:rPr>
          <w:rFonts w:ascii="Arial" w:hAnsi="Arial"/>
        </w:rPr>
      </w:pPr>
      <w:r>
        <w:rPr>
          <w:rFonts w:ascii="Arial" w:hAnsi="Arial"/>
          <w:sz w:val="20"/>
          <w:szCs w:val="20"/>
        </w:rPr>
        <w:t>ANEXO I – Projeto Básico;</w:t>
      </w:r>
    </w:p>
    <w:p>
      <w:pPr>
        <w:pStyle w:val="Nivel3"/>
        <w:widowControl/>
        <w:numPr>
          <w:ilvl w:val="2"/>
          <w:numId w:val="18"/>
        </w:numPr>
        <w:tabs>
          <w:tab w:val="left" w:pos="2268" w:leader="none"/>
        </w:tabs>
        <w:bidi w:val="0"/>
        <w:spacing w:lineRule="auto" w:line="276" w:before="120" w:after="120"/>
        <w:ind w:left="1134" w:right="0" w:hanging="0"/>
        <w:jc w:val="both"/>
        <w:rPr>
          <w:rFonts w:ascii="Arial" w:hAnsi="Arial"/>
          <w:sz w:val="20"/>
          <w:szCs w:val="20"/>
        </w:rPr>
      </w:pPr>
      <w:r>
        <w:rPr>
          <w:rFonts w:ascii="Arial" w:hAnsi="Arial"/>
          <w:sz w:val="20"/>
          <w:szCs w:val="20"/>
        </w:rPr>
        <w:t>ANEXO II – Modelo de Proposta comercial;</w:t>
      </w:r>
    </w:p>
    <w:p>
      <w:pPr>
        <w:pStyle w:val="Nivel3"/>
        <w:widowControl/>
        <w:numPr>
          <w:ilvl w:val="2"/>
          <w:numId w:val="18"/>
        </w:numPr>
        <w:tabs>
          <w:tab w:val="left" w:pos="2268" w:leader="none"/>
        </w:tabs>
        <w:bidi w:val="0"/>
        <w:spacing w:lineRule="auto" w:line="276" w:before="120" w:after="120"/>
        <w:ind w:left="1134" w:right="0" w:hanging="0"/>
        <w:jc w:val="both"/>
        <w:rPr>
          <w:rFonts w:ascii="Arial" w:hAnsi="Arial"/>
          <w:sz w:val="20"/>
          <w:szCs w:val="20"/>
        </w:rPr>
      </w:pPr>
      <w:r>
        <w:rPr>
          <w:rFonts w:ascii="Arial" w:hAnsi="Arial"/>
          <w:sz w:val="20"/>
          <w:szCs w:val="20"/>
        </w:rPr>
        <w:t xml:space="preserve">ANEXO III – Minuta de Termo de Contrato; </w:t>
      </w:r>
    </w:p>
    <w:p>
      <w:pPr>
        <w:pStyle w:val="Nivel3"/>
        <w:widowControl/>
        <w:numPr>
          <w:ilvl w:val="2"/>
          <w:numId w:val="18"/>
        </w:numPr>
        <w:tabs>
          <w:tab w:val="left" w:pos="2268" w:leader="none"/>
        </w:tabs>
        <w:bidi w:val="0"/>
        <w:spacing w:lineRule="auto" w:line="276" w:before="120" w:after="120"/>
        <w:ind w:left="1134" w:right="0" w:hanging="0"/>
        <w:jc w:val="both"/>
        <w:rPr>
          <w:rFonts w:ascii="Arial" w:hAnsi="Arial"/>
          <w:sz w:val="20"/>
          <w:szCs w:val="20"/>
        </w:rPr>
      </w:pPr>
      <w:r>
        <w:rPr>
          <w:rFonts w:ascii="Arial" w:hAnsi="Arial"/>
          <w:sz w:val="20"/>
          <w:szCs w:val="20"/>
        </w:rPr>
        <w:t>ANEXO IV – Modelo de Declaração de cumprimento ao disposto no inciso XXXIII do art. 7º, da Constituição Federal e outras declarações;</w:t>
      </w:r>
    </w:p>
    <w:p>
      <w:pPr>
        <w:pStyle w:val="Nivel3"/>
        <w:widowControl/>
        <w:numPr>
          <w:ilvl w:val="2"/>
          <w:numId w:val="18"/>
        </w:numPr>
        <w:tabs>
          <w:tab w:val="left" w:pos="1650" w:leader="none"/>
          <w:tab w:val="left" w:pos="2268" w:leader="none"/>
        </w:tabs>
        <w:bidi w:val="0"/>
        <w:spacing w:lineRule="auto" w:line="276" w:before="120" w:after="120"/>
        <w:ind w:left="1134" w:right="0" w:hanging="0"/>
        <w:jc w:val="both"/>
        <w:rPr>
          <w:rFonts w:ascii="Arial" w:hAnsi="Arial"/>
          <w:sz w:val="20"/>
          <w:szCs w:val="20"/>
        </w:rPr>
      </w:pPr>
      <w:r>
        <w:rPr>
          <w:rFonts w:ascii="Arial" w:hAnsi="Arial"/>
          <w:sz w:val="20"/>
          <w:szCs w:val="20"/>
        </w:rPr>
        <w:t>ANEXO V – Modelo de declaração de elaboração independente de proposta;</w:t>
      </w:r>
    </w:p>
    <w:p>
      <w:pPr>
        <w:pStyle w:val="Nivel3"/>
        <w:widowControl/>
        <w:numPr>
          <w:ilvl w:val="2"/>
          <w:numId w:val="18"/>
        </w:numPr>
        <w:tabs>
          <w:tab w:val="left" w:pos="1695" w:leader="none"/>
          <w:tab w:val="left" w:pos="2268" w:leader="none"/>
        </w:tabs>
        <w:bidi w:val="0"/>
        <w:spacing w:lineRule="auto" w:line="276" w:before="120" w:after="120"/>
        <w:ind w:left="1134" w:right="0" w:hanging="0"/>
        <w:jc w:val="both"/>
        <w:rPr>
          <w:rFonts w:ascii="Arial" w:hAnsi="Arial"/>
          <w:sz w:val="20"/>
          <w:szCs w:val="20"/>
        </w:rPr>
      </w:pPr>
      <w:r>
        <w:rPr>
          <w:rFonts w:ascii="Arial" w:hAnsi="Arial"/>
          <w:sz w:val="20"/>
          <w:szCs w:val="20"/>
        </w:rPr>
        <w:t xml:space="preserve">ANEXO VI – Modelo de declaração de microempresa, de empresa de pequeno porte, </w:t>
      </w:r>
    </w:p>
    <w:p>
      <w:pPr>
        <w:pStyle w:val="Nivel3"/>
        <w:numPr>
          <w:ilvl w:val="0"/>
          <w:numId w:val="0"/>
        </w:numPr>
        <w:tabs>
          <w:tab w:val="left" w:pos="2268" w:leader="none"/>
        </w:tabs>
        <w:ind w:left="1134" w:hanging="0"/>
        <w:rPr>
          <w:rFonts w:ascii="Arial" w:hAnsi="Arial" w:cs="Arial"/>
          <w:color w:val="000000"/>
          <w:sz w:val="20"/>
          <w:szCs w:val="20"/>
        </w:rPr>
      </w:pPr>
      <w:r>
        <w:rPr>
          <w:rFonts w:cs="Arial" w:ascii="Arial" w:hAnsi="Arial"/>
          <w:color w:val="000000"/>
          <w:sz w:val="20"/>
          <w:szCs w:val="20"/>
        </w:rPr>
      </w:r>
    </w:p>
    <w:p>
      <w:pPr>
        <w:pStyle w:val="Normal"/>
        <w:jc w:val="right"/>
        <w:rPr/>
      </w:pPr>
      <w:r>
        <w:rPr>
          <w:rFonts w:cs="Arial" w:ascii="Arial" w:hAnsi="Arial"/>
          <w:color w:val="000000"/>
          <w:sz w:val="20"/>
          <w:szCs w:val="20"/>
        </w:rPr>
        <w:t>Camaquã, 29 de Julho de 2019.</w:t>
      </w:r>
    </w:p>
    <w:p>
      <w:pPr>
        <w:pStyle w:val="Normal"/>
        <w:jc w:val="right"/>
        <w:rPr>
          <w:rFonts w:ascii="Arial" w:hAnsi="Arial" w:cs="Arial"/>
          <w:sz w:val="20"/>
          <w:szCs w:val="20"/>
          <w:shd w:fill="FFFF00" w:val="clear"/>
        </w:rPr>
      </w:pPr>
      <w:r>
        <w:rPr>
          <w:rFonts w:cs="Arial" w:ascii="Arial" w:hAnsi="Arial"/>
          <w:sz w:val="20"/>
          <w:szCs w:val="20"/>
          <w:shd w:fill="FFFF00" w:val="clear"/>
        </w:rPr>
      </w:r>
    </w:p>
    <w:p>
      <w:pPr>
        <w:pStyle w:val="Normal"/>
        <w:jc w:val="center"/>
        <w:rPr>
          <w:rFonts w:ascii="Arial" w:hAnsi="Arial" w:cs="Arial"/>
          <w:color w:val="000000"/>
          <w:sz w:val="20"/>
          <w:szCs w:val="20"/>
          <w:shd w:fill="FFFF00" w:val="clear"/>
        </w:rPr>
      </w:pPr>
      <w:r>
        <w:rPr>
          <w:rFonts w:cs="Arial" w:ascii="Arial" w:hAnsi="Arial"/>
          <w:color w:val="000000"/>
          <w:sz w:val="20"/>
          <w:szCs w:val="20"/>
          <w:shd w:fill="FFFF00" w:val="clear"/>
        </w:rPr>
      </w:r>
    </w:p>
    <w:p>
      <w:pPr>
        <w:pStyle w:val="Normal"/>
        <w:jc w:val="center"/>
        <w:rPr>
          <w:rFonts w:ascii="Arial" w:hAnsi="Arial" w:cs="Arial"/>
          <w:color w:val="000000"/>
          <w:sz w:val="20"/>
          <w:szCs w:val="20"/>
        </w:rPr>
      </w:pPr>
      <w:r>
        <w:rPr>
          <w:rFonts w:cs="Arial" w:ascii="Arial" w:hAnsi="Arial"/>
          <w:color w:val="000000"/>
          <w:sz w:val="20"/>
          <w:szCs w:val="20"/>
        </w:rPr>
        <w:t>___________________</w:t>
      </w:r>
    </w:p>
    <w:p>
      <w:pPr>
        <w:pStyle w:val="Normal"/>
        <w:jc w:val="center"/>
        <w:rPr>
          <w:rFonts w:ascii="Arial" w:hAnsi="Arial" w:cs="Arial"/>
          <w:color w:val="000000"/>
          <w:sz w:val="20"/>
          <w:szCs w:val="20"/>
        </w:rPr>
      </w:pPr>
      <w:r>
        <w:rPr>
          <w:rFonts w:cs="Arial" w:ascii="Arial" w:hAnsi="Arial"/>
          <w:color w:val="000000"/>
          <w:sz w:val="20"/>
          <w:szCs w:val="20"/>
        </w:rPr>
        <w:t>Carmem Angélica Ribeiro de Borba</w:t>
      </w:r>
    </w:p>
    <w:p>
      <w:pPr>
        <w:pStyle w:val="Normal"/>
        <w:spacing w:lineRule="auto" w:line="276" w:before="0" w:after="100"/>
        <w:jc w:val="center"/>
        <w:rPr>
          <w:rFonts w:ascii="Arial" w:hAnsi="Arial" w:cs="Arial"/>
          <w:b/>
          <w:b/>
          <w:bCs/>
          <w:color w:val="000000"/>
          <w:sz w:val="20"/>
          <w:szCs w:val="20"/>
        </w:rPr>
      </w:pPr>
      <w:r>
        <w:rPr>
          <w:rFonts w:cs="Arial" w:ascii="Arial" w:hAnsi="Arial"/>
          <w:b/>
          <w:bCs/>
          <w:iCs/>
          <w:color w:val="000000"/>
          <w:sz w:val="20"/>
          <w:szCs w:val="20"/>
        </w:rPr>
        <w:t>Presidente da Comissão Permanente de Licitações</w:t>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Normal"/>
        <w:spacing w:lineRule="auto" w:line="276" w:before="0" w:after="100"/>
        <w:jc w:val="center"/>
        <w:rPr>
          <w:rFonts w:ascii="Arial" w:hAnsi="Arial" w:cs="Arial"/>
          <w:b/>
          <w:b/>
          <w:bCs/>
          <w:iCs/>
          <w:color w:val="000000"/>
          <w:sz w:val="20"/>
          <w:szCs w:val="20"/>
        </w:rPr>
      </w:pPr>
      <w:r>
        <w:rPr>
          <w:rFonts w:cs="Arial" w:ascii="Arial" w:hAnsi="Arial"/>
          <w:b/>
          <w:bCs/>
          <w:iCs/>
          <w:color w:val="000000"/>
          <w:sz w:val="20"/>
          <w:szCs w:val="20"/>
        </w:rPr>
      </w:r>
    </w:p>
    <w:p>
      <w:pPr>
        <w:pStyle w:val="Corpodetexto"/>
        <w:jc w:val="center"/>
        <w:rPr/>
      </w:pPr>
      <w:r>
        <w:rPr>
          <w:rFonts w:ascii="Arial" w:hAnsi="Arial"/>
          <w:b/>
          <w:bCs/>
          <w:i w:val="false"/>
          <w:iCs w:val="false"/>
          <w:sz w:val="20"/>
          <w:szCs w:val="20"/>
        </w:rPr>
        <w:t>ANEXO I</w:t>
      </w:r>
    </w:p>
    <w:p>
      <w:pPr>
        <w:pStyle w:val="Corpodetexto"/>
        <w:jc w:val="center"/>
        <w:rPr>
          <w:rFonts w:ascii="Arial" w:hAnsi="Arial"/>
          <w:b/>
          <w:b/>
          <w:bCs/>
          <w:i w:val="false"/>
          <w:i w:val="false"/>
          <w:iCs w:val="false"/>
          <w:sz w:val="20"/>
          <w:szCs w:val="20"/>
        </w:rPr>
      </w:pPr>
      <w:r>
        <w:rPr>
          <w:rFonts w:ascii="Arial" w:hAnsi="Arial"/>
          <w:b/>
          <w:bCs/>
          <w:i w:val="false"/>
          <w:iCs w:val="false"/>
          <w:sz w:val="20"/>
          <w:szCs w:val="20"/>
        </w:rPr>
        <w:t>PROJETO BÁSICO</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r>
    </w:p>
    <w:p>
      <w:pPr>
        <w:pStyle w:val="Corpodetexto"/>
        <w:jc w:val="both"/>
        <w:rPr>
          <w:rFonts w:ascii="Arial" w:hAnsi="Arial"/>
          <w:b/>
          <w:b/>
          <w:bCs/>
          <w:i w:val="false"/>
          <w:i w:val="false"/>
          <w:iCs w:val="false"/>
          <w:sz w:val="20"/>
          <w:szCs w:val="20"/>
        </w:rPr>
      </w:pPr>
      <w:bookmarkStart w:id="3" w:name="__DdeLink__1592_720279059"/>
      <w:r>
        <w:rPr>
          <w:rFonts w:ascii="Arial" w:hAnsi="Arial"/>
          <w:b/>
          <w:bCs/>
          <w:i w:val="false"/>
          <w:iCs w:val="false"/>
          <w:sz w:val="20"/>
          <w:szCs w:val="20"/>
        </w:rPr>
        <w:t>1. DO OBJETO</w:t>
      </w:r>
    </w:p>
    <w:p>
      <w:pPr>
        <w:pStyle w:val="Corpodetexto"/>
        <w:jc w:val="both"/>
        <w:rPr/>
      </w:pPr>
      <w:r>
        <w:rPr>
          <w:rFonts w:ascii="Arial" w:hAnsi="Arial"/>
          <w:b w:val="false"/>
          <w:bCs w:val="false"/>
          <w:i w:val="false"/>
          <w:iCs w:val="false"/>
          <w:sz w:val="20"/>
          <w:szCs w:val="20"/>
        </w:rPr>
        <w:t xml:space="preserve">1.1. Contratação de empresa especializada para a prestação de serviços continuados de manutenção preventiva e corretiva, incluindo mão de obra e peças de reposição, nos veículos oficiais, onde se inclui serviços classificados como leves, tais como: mecânica em geral, sistema elétrico/eletrônico, sistema de refrigeração, ar-condicionado, direção hidráulica, serviços de tapeçaria, vidraçaria, estofamento, balanceamento e alinhamento de rodas, cambagem, cáster, troca de óleo e filtros, troca de extintores, alinhamento de direção, lubrificação e instalação de acessórios, substituição e conserto de pneus, e outros serviços considerados necessários para manter em perfeito funcionamento os veículos oficiais pertencentes à frota do </w:t>
      </w:r>
      <w:r>
        <w:rPr>
          <w:rFonts w:ascii="Arial" w:hAnsi="Arial"/>
          <w:b w:val="false"/>
          <w:bCs w:val="false"/>
          <w:i/>
          <w:iCs/>
          <w:sz w:val="20"/>
          <w:szCs w:val="20"/>
        </w:rPr>
        <w:t>campus</w:t>
      </w:r>
      <w:bookmarkEnd w:id="3"/>
      <w:r>
        <w:rPr>
          <w:rFonts w:ascii="Arial" w:hAnsi="Arial"/>
          <w:b w:val="false"/>
          <w:bCs w:val="false"/>
          <w:i w:val="false"/>
          <w:iCs w:val="false"/>
          <w:sz w:val="20"/>
          <w:szCs w:val="20"/>
        </w:rPr>
        <w:t xml:space="preserve"> Camaquã, do Instituto Federal Sul-rio-grandense, a serem prestados no município de Camaquã/RS, pelo período de 12 (doze) meses, admitindo-se a possibilidade de prorrogação, podendo ser prorrogado por iguais e sucessivos períodos, ate o limite máximo de 60 (sessenta) meses.</w:t>
      </w:r>
    </w:p>
    <w:tbl>
      <w:tblPr>
        <w:tblW w:w="9324" w:type="dxa"/>
        <w:jc w:val="left"/>
        <w:tblInd w:w="-46" w:type="dxa"/>
        <w:tblBorders>
          <w:top w:val="single" w:sz="4" w:space="0" w:color="000001"/>
          <w:left w:val="single" w:sz="4" w:space="0" w:color="000001"/>
          <w:bottom w:val="single" w:sz="4" w:space="0" w:color="000001"/>
          <w:insideH w:val="single" w:sz="4" w:space="0" w:color="000001"/>
        </w:tblBorders>
        <w:tblCellMar>
          <w:top w:w="0" w:type="dxa"/>
          <w:left w:w="-5" w:type="dxa"/>
          <w:bottom w:w="0" w:type="dxa"/>
          <w:right w:w="10" w:type="dxa"/>
        </w:tblCellMar>
      </w:tblPr>
      <w:tblGrid>
        <w:gridCol w:w="849"/>
        <w:gridCol w:w="2683"/>
        <w:gridCol w:w="1134"/>
        <w:gridCol w:w="1485"/>
        <w:gridCol w:w="1504"/>
        <w:gridCol w:w="1668"/>
      </w:tblGrid>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Item</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Descrição</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Unidade de medida</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Quantidade</w:t>
            </w:r>
          </w:p>
        </w:tc>
        <w:tc>
          <w:tcPr>
            <w:tcW w:w="150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Valor Unitário máximo aceitável</w:t>
            </w:r>
          </w:p>
        </w:tc>
        <w:tc>
          <w:tcPr>
            <w:tcW w:w="16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Valor Total</w:t>
            </w:r>
          </w:p>
        </w:tc>
      </w:tr>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Prestação de serviços continuados de manutenção preventiva e corretiva nos veículos oficiais leves pertencentes à frota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Hora /Serviço Mecânico</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76</w:t>
            </w:r>
          </w:p>
        </w:tc>
        <w:tc>
          <w:tcPr>
            <w:tcW w:w="150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R$ 95,00</w:t>
            </w:r>
          </w:p>
        </w:tc>
        <w:tc>
          <w:tcPr>
            <w:tcW w:w="16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R$ 7.220,00</w:t>
            </w:r>
          </w:p>
        </w:tc>
      </w:tr>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Peças de reposição veículos leves.</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unidade</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55</w:t>
            </w:r>
          </w:p>
        </w:tc>
        <w:tc>
          <w:tcPr>
            <w:tcW w:w="150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R$ 133,88</w:t>
            </w:r>
          </w:p>
        </w:tc>
        <w:tc>
          <w:tcPr>
            <w:tcW w:w="16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R$ 7.363,40</w:t>
            </w:r>
          </w:p>
        </w:tc>
      </w:tr>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3</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Prestação de serviços continuados de manutenção preventiva e corretiva nos veículos oficiais a diesel pertencentes à frota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Hora /Serviço Mecânico</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66</w:t>
            </w:r>
          </w:p>
        </w:tc>
        <w:tc>
          <w:tcPr>
            <w:tcW w:w="150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R$ 106,00</w:t>
            </w:r>
          </w:p>
        </w:tc>
        <w:tc>
          <w:tcPr>
            <w:tcW w:w="16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R$ 6.996,00</w:t>
            </w:r>
          </w:p>
        </w:tc>
      </w:tr>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Peças de reposição veículos a diesel.</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unidade</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65</w:t>
            </w:r>
          </w:p>
        </w:tc>
        <w:tc>
          <w:tcPr>
            <w:tcW w:w="150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R$ 170,38</w:t>
            </w:r>
          </w:p>
        </w:tc>
        <w:tc>
          <w:tcPr>
            <w:tcW w:w="16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R$11.074,70</w:t>
            </w:r>
          </w:p>
        </w:tc>
      </w:tr>
      <w:tr>
        <w:trPr/>
        <w:tc>
          <w:tcPr>
            <w:tcW w:w="7655" w:type="dxa"/>
            <w:gridSpan w:val="5"/>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Valor Global R$    </w:t>
            </w:r>
          </w:p>
        </w:tc>
        <w:tc>
          <w:tcPr>
            <w:tcW w:w="16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bookmarkStart w:id="4" w:name="__DdeLink__1648_593896614"/>
            <w:bookmarkEnd w:id="4"/>
            <w:r>
              <w:rPr>
                <w:rFonts w:ascii="Arial" w:hAnsi="Arial"/>
                <w:b w:val="false"/>
                <w:bCs w:val="false"/>
                <w:i w:val="false"/>
                <w:iCs w:val="false"/>
                <w:sz w:val="20"/>
                <w:szCs w:val="20"/>
              </w:rPr>
              <w:t>R$ 32.654,10</w:t>
            </w:r>
          </w:p>
        </w:tc>
      </w:tr>
    </w:tbl>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Memória de cálculo anexa a este edital.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 Os serviços deverão ser prestados dentro dos parâmetros e rotinas estabelecidos, com fornecimento de mão de obra e respectivos insumos, e, ainda, em observância às recomendações aceitas pela boa técnica, normas e legislação aplicável. Os quantitativos e respectivos códigos dos itens são os discriminados na tabela acima.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1.3. A presente contratação adotará como regime de execução a empreitada por preço unitário: da hora técnica para manutenção preventiva e corretiva dos veículos oficiais do </w:t>
      </w:r>
      <w:r>
        <w:rPr>
          <w:rFonts w:ascii="Arial" w:hAnsi="Arial"/>
          <w:b w:val="false"/>
          <w:bCs w:val="false"/>
          <w:i/>
          <w:iCs/>
          <w:sz w:val="20"/>
          <w:szCs w:val="20"/>
        </w:rPr>
        <w:t>campus</w:t>
      </w:r>
      <w:r>
        <w:rPr>
          <w:rFonts w:ascii="Arial" w:hAnsi="Arial"/>
          <w:b w:val="false"/>
          <w:bCs w:val="false"/>
          <w:i w:val="false"/>
          <w:iCs w:val="false"/>
          <w:sz w:val="20"/>
          <w:szCs w:val="20"/>
        </w:rPr>
        <w:t>. As peças e insumos que deverão ser utilizados no serviço serão contabilizadas à parte, sendo da responsabilidade da contratada fornecê-los.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1.4. O prazo de vigência do contrato é de 12 (doze) meses, podendo ser prorrogado por interesse das partes até o limite de 60 (sessenta) meses, com base no artigo 57, II, da Lei 8.666, de 1993.</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u w:val="none"/>
        </w:rPr>
        <w:t>1.5. RELAÇÃO DOS VEÍCULOS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1.5.1. </w:t>
      </w:r>
      <w:r>
        <w:rPr>
          <w:rFonts w:ascii="Arial" w:hAnsi="Arial"/>
          <w:b w:val="false"/>
          <w:bCs w:val="false"/>
          <w:i w:val="false"/>
          <w:iCs w:val="false"/>
          <w:sz w:val="20"/>
          <w:szCs w:val="20"/>
          <w:lang w:val="pt-PT"/>
        </w:rPr>
        <w:t>Os veículos oficiais pertencentes a frota estão descritos nas tabelas a seguir:</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Grupo 01 -Veículos Leves</w:t>
      </w:r>
    </w:p>
    <w:tbl>
      <w:tblPr>
        <w:tblW w:w="8672" w:type="dxa"/>
        <w:jc w:val="left"/>
        <w:tblInd w:w="59" w:type="dxa"/>
        <w:tblBorders>
          <w:top w:val="single" w:sz="4" w:space="0" w:color="000001"/>
          <w:left w:val="single" w:sz="4" w:space="0" w:color="000001"/>
          <w:bottom w:val="single" w:sz="4" w:space="0" w:color="000001"/>
          <w:insideH w:val="single" w:sz="4" w:space="0" w:color="000001"/>
        </w:tblBorders>
        <w:tblCellMar>
          <w:top w:w="0" w:type="dxa"/>
          <w:left w:w="38" w:type="dxa"/>
          <w:bottom w:w="0" w:type="dxa"/>
          <w:right w:w="108" w:type="dxa"/>
        </w:tblCellMar>
      </w:tblPr>
      <w:tblGrid>
        <w:gridCol w:w="1978"/>
        <w:gridCol w:w="2507"/>
        <w:gridCol w:w="1755"/>
        <w:gridCol w:w="2431"/>
      </w:tblGrid>
      <w:tr>
        <w:trPr>
          <w:trHeight w:val="373" w:hRule="atLeast"/>
        </w:trPr>
        <w:tc>
          <w:tcPr>
            <w:tcW w:w="1978"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Marca/Modelo</w:t>
            </w:r>
          </w:p>
        </w:tc>
        <w:tc>
          <w:tcPr>
            <w:tcW w:w="2507"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Ano</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Placa</w:t>
            </w:r>
          </w:p>
        </w:tc>
        <w:tc>
          <w:tcPr>
            <w:tcW w:w="243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Combustível</w:t>
            </w:r>
          </w:p>
        </w:tc>
      </w:tr>
      <w:tr>
        <w:trPr>
          <w:trHeight w:val="373" w:hRule="atLeast"/>
        </w:trPr>
        <w:tc>
          <w:tcPr>
            <w:tcW w:w="1978"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Toyota/Corola GLI 18 Flex</w:t>
            </w:r>
          </w:p>
        </w:tc>
        <w:tc>
          <w:tcPr>
            <w:tcW w:w="2507"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2009 / 2010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IQJ - 1844</w:t>
            </w:r>
          </w:p>
        </w:tc>
        <w:tc>
          <w:tcPr>
            <w:tcW w:w="243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Gasolina / Álcool</w:t>
            </w:r>
          </w:p>
        </w:tc>
      </w:tr>
      <w:tr>
        <w:trPr>
          <w:trHeight w:val="373" w:hRule="atLeast"/>
        </w:trPr>
        <w:tc>
          <w:tcPr>
            <w:tcW w:w="1978"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Fiat Doblo HLX 1.8 Flex</w:t>
            </w:r>
          </w:p>
        </w:tc>
        <w:tc>
          <w:tcPr>
            <w:tcW w:w="2507"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2010 / 2011</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IRS - 1870</w:t>
            </w:r>
          </w:p>
        </w:tc>
        <w:tc>
          <w:tcPr>
            <w:tcW w:w="243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Gasolina / Álcool</w:t>
            </w:r>
          </w:p>
        </w:tc>
      </w:tr>
      <w:tr>
        <w:trPr>
          <w:trHeight w:val="373" w:hRule="atLeast"/>
        </w:trPr>
        <w:tc>
          <w:tcPr>
            <w:tcW w:w="1978"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Trator cortador de grama marca Murray</w:t>
            </w:r>
          </w:p>
        </w:tc>
        <w:tc>
          <w:tcPr>
            <w:tcW w:w="2507"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2012</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w:t>
            </w:r>
          </w:p>
        </w:tc>
        <w:tc>
          <w:tcPr>
            <w:tcW w:w="243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3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Gasolina (2 tempos)</w:t>
            </w:r>
          </w:p>
        </w:tc>
      </w:tr>
    </w:tbl>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Grupo 02 -Veículos Diesel</w:t>
      </w:r>
    </w:p>
    <w:tbl>
      <w:tblPr>
        <w:tblW w:w="8670" w:type="dxa"/>
        <w:jc w:val="left"/>
        <w:tblInd w:w="33" w:type="dxa"/>
        <w:tblBorders>
          <w:top w:val="single" w:sz="2" w:space="0" w:color="000001"/>
          <w:left w:val="single" w:sz="2" w:space="0" w:color="000001"/>
          <w:bottom w:val="single" w:sz="2" w:space="0" w:color="000001"/>
          <w:insideH w:val="single" w:sz="2" w:space="0" w:color="000001"/>
        </w:tblBorders>
        <w:tblCellMar>
          <w:top w:w="55" w:type="dxa"/>
          <w:left w:w="15" w:type="dxa"/>
          <w:bottom w:w="55" w:type="dxa"/>
          <w:right w:w="55" w:type="dxa"/>
        </w:tblCellMar>
      </w:tblPr>
      <w:tblGrid>
        <w:gridCol w:w="1980"/>
        <w:gridCol w:w="2535"/>
        <w:gridCol w:w="1740"/>
        <w:gridCol w:w="2414"/>
      </w:tblGrid>
      <w:tr>
        <w:trPr/>
        <w:tc>
          <w:tcPr>
            <w:tcW w:w="1980" w:type="dxa"/>
            <w:tcBorders>
              <w:top w:val="single" w:sz="2" w:space="0" w:color="000001"/>
              <w:left w:val="single" w:sz="2" w:space="0" w:color="000001"/>
              <w:bottom w:val="single" w:sz="2" w:space="0" w:color="000001"/>
              <w:insideH w:val="single" w:sz="2" w:space="0" w:color="000001"/>
            </w:tcBorders>
            <w:shd w:fill="FFFFFF" w:val="clear"/>
            <w:tcMar>
              <w:left w:w="1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Microonibus Agrale / Comil Pia</w:t>
            </w:r>
          </w:p>
        </w:tc>
        <w:tc>
          <w:tcPr>
            <w:tcW w:w="2535" w:type="dxa"/>
            <w:tcBorders>
              <w:top w:val="single" w:sz="2" w:space="0" w:color="000001"/>
              <w:left w:val="single" w:sz="2" w:space="0" w:color="000001"/>
              <w:bottom w:val="single" w:sz="2" w:space="0" w:color="000001"/>
              <w:insideH w:val="single" w:sz="2" w:space="0" w:color="000001"/>
            </w:tcBorders>
            <w:shd w:fill="FFFFFF" w:val="clear"/>
            <w:tcMar>
              <w:left w:w="1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2010 / 2010</w:t>
            </w:r>
          </w:p>
        </w:tc>
        <w:tc>
          <w:tcPr>
            <w:tcW w:w="1740" w:type="dxa"/>
            <w:tcBorders>
              <w:top w:val="single" w:sz="2" w:space="0" w:color="000001"/>
              <w:left w:val="single" w:sz="2" w:space="0" w:color="000001"/>
              <w:bottom w:val="single" w:sz="2" w:space="0" w:color="000001"/>
              <w:insideH w:val="single" w:sz="2" w:space="0" w:color="000001"/>
            </w:tcBorders>
            <w:shd w:fill="FFFFFF" w:val="clear"/>
            <w:tcMar>
              <w:left w:w="1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IQT - 5066</w:t>
            </w:r>
          </w:p>
        </w:tc>
        <w:tc>
          <w:tcPr>
            <w:tcW w:w="241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Diesel</w:t>
            </w:r>
          </w:p>
        </w:tc>
      </w:tr>
      <w:tr>
        <w:trPr/>
        <w:tc>
          <w:tcPr>
            <w:tcW w:w="1980" w:type="dxa"/>
            <w:tcBorders>
              <w:top w:val="single" w:sz="2" w:space="0" w:color="000001"/>
              <w:left w:val="single" w:sz="2" w:space="0" w:color="000001"/>
              <w:bottom w:val="single" w:sz="2" w:space="0" w:color="000001"/>
              <w:insideH w:val="single" w:sz="2" w:space="0" w:color="000001"/>
            </w:tcBorders>
            <w:shd w:fill="FFFFFF" w:val="clear"/>
            <w:tcMar>
              <w:left w:w="1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Ônibus Mercedes Benz / Comil Campione</w:t>
            </w:r>
          </w:p>
        </w:tc>
        <w:tc>
          <w:tcPr>
            <w:tcW w:w="2535" w:type="dxa"/>
            <w:tcBorders>
              <w:top w:val="single" w:sz="2" w:space="0" w:color="000001"/>
              <w:left w:val="single" w:sz="2" w:space="0" w:color="000001"/>
              <w:bottom w:val="single" w:sz="2" w:space="0" w:color="000001"/>
              <w:insideH w:val="single" w:sz="2" w:space="0" w:color="000001"/>
            </w:tcBorders>
            <w:shd w:fill="FFFFFF" w:val="clear"/>
            <w:tcMar>
              <w:left w:w="1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2014 / 2014</w:t>
            </w:r>
          </w:p>
        </w:tc>
        <w:tc>
          <w:tcPr>
            <w:tcW w:w="1740" w:type="dxa"/>
            <w:tcBorders>
              <w:top w:val="single" w:sz="2" w:space="0" w:color="000001"/>
              <w:left w:val="single" w:sz="2" w:space="0" w:color="000001"/>
              <w:bottom w:val="single" w:sz="2" w:space="0" w:color="000001"/>
              <w:insideH w:val="single" w:sz="2" w:space="0" w:color="000001"/>
            </w:tcBorders>
            <w:shd w:fill="FFFFFF" w:val="clear"/>
            <w:tcMar>
              <w:left w:w="1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IWE – 1589</w:t>
            </w:r>
          </w:p>
        </w:tc>
        <w:tc>
          <w:tcPr>
            <w:tcW w:w="241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Diesel</w:t>
            </w:r>
          </w:p>
        </w:tc>
      </w:tr>
    </w:tbl>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1.5.2. Além dos veículos mencionados acima, a CONTRATADA obriga-se a prestar os mesmos serviços constantes neste Projeto Básico a qualquer outro de mesma categoria que o IFSul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venha a adquirir durante a vigência do Contrato, até o limite legal.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1.5.3. Para os veículos adquiridos, enquanto estiverem na garantia do fabricante, os serviços serão realizados pelas empresas autorizadas da marca.</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2. JUSTIFICATIVA E OBJETIVO DA CONTRATAÇÃO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2.1 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 com a contratação do referido serviço, visa manter o bom funcionamento de seus veículos oficiais, garantindo a segurança de seus usuários, prolongando a durabilidade dos veículos, agindo de forma preventiva e atendendo às normas legais referentes à legislação de trânsito, no que se refere à circulação dos veículos em via pública.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2.2. DO PRAZO DE ATENDIMENTO DE CHAMADAS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2.2.1. A CONTRATADA deverá atender aos chamados para atendimento dos serviços contratados em, no máximo, 48 (quarenta e oito) horas, contadas do recebimento da solicitação do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 DA EXECUÇÃO DO SERVIÇO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2.3.1. Após recebimento do chamado, o representante da empresa Contratada, encarregado da prestação dos serviços, deverá retirar formulário (Ordem de Execução dos Serviços) na Coordenadoria de Manutenção Geral (COMAG), para preenchimento, onde indicará horário de início e término da execução da tarefa, bem como descrição detalhada dos serviços realizados, e quando da conclusão dos serviços, retornando a rúbrica do funcionário.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2.3.2. A contratada compromete-se a executar os serviços, entregando os veículos em perfeitas condições de funcionamento, realizando os serviços com pessoal qualificado, mediante emprego de técnica e ferramenta adequadas, observando as seguintes condições: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2.3.3. Executar fielmente e dentro das melhores condições das normas técnicas os serviços que lhe forem confiados, conforme o presente edital de licitação e contrato, observando especificações da Ordem de Execução dos Serviços, bem como executar tudo o que não for explicitamente mencionado, mas que seja necessário à perfeita execução dos serviços.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2.3.4. Atender com prioridade as solicitações da Contratante, para a execução de serviços.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2.3.5. As peças de reposição, quando necessárias, serão fornecidas pela Contratada, após aprovação do orçamento pelo Contratante, sendo que o Instituto Federal Sul-rio-grandense -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 se reserva o direito de realizar pesquisa de preço, podendo não aceitar a peça/acessório ou preço da Contratada.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2.3.6. A garantia das peças e serviços deverá ser cumprida, independente do término ou rescisão do contrato, até o limite da garantia.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2.3.7. A Contratada se compromete a informar, através de documento fundamentado, os casos em que o defeito do Veículo tenha sido causado por falta de zelo do servidor.</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2.3.8. O Instituto Federal Sul-rio-grandense -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 se reserva o direito de rejeitar o serviço entregue, se em desacordo com os termos deste edital.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2.3.9. Quaisquer exigências da fiscalização inerentes ao objeto da licitação deverão ser prontamente atendidas pela contratada.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2.3.10. Os veículos que forem adquiridos, recebidos por doação de outros órgãos, a partir da presente licitação serão acrescidos, após o término do período de garantia, à critério da Administração, respeitando o limite de vinte e cinco por cento de acréscimo contratual.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2.3.11. A Contratada se compromete a arcar com os danos eventualmente ocorridos com os materiais, equipamentos e ferramentas utilizados na execução dos serviços, sem possibilidade de ressarcimento pela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2.3.12. A contratada deverá responder por todo ou qualquer dano material ou pessoal causado por seus empregados ou prepostos aos veículos da contratante, a título de culpa ou dolo devidamente comprovados, quando estiverem sujeitos a reparos ou serviços sob a sua responsabilidade, providenciando a correspondente indenização.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2.4. EQUAÇÃO PARA A PROPOSTA DE PREÇO</w:t>
      </w:r>
    </w:p>
    <w:p>
      <w:pPr>
        <w:pStyle w:val="Corpodetexto"/>
        <w:jc w:val="both"/>
        <w:rPr/>
      </w:pPr>
      <w:r>
        <w:rPr>
          <w:rFonts w:ascii="Arial" w:hAnsi="Arial"/>
          <w:b w:val="false"/>
          <w:bCs w:val="false"/>
          <w:i w:val="false"/>
          <w:iCs w:val="false"/>
          <w:sz w:val="20"/>
          <w:szCs w:val="20"/>
        </w:rPr>
        <w:t>2.4.1. Para cálculo do valor global (proposta), deverá ser utilizada a equação indicada no Grupo.</w:t>
      </w:r>
    </w:p>
    <w:tbl>
      <w:tblPr>
        <w:tblW w:w="8955" w:type="dxa"/>
        <w:jc w:val="left"/>
        <w:tblInd w:w="95" w:type="dxa"/>
        <w:tblBorders>
          <w:top w:val="single" w:sz="4" w:space="0" w:color="000001"/>
          <w:left w:val="single" w:sz="4" w:space="0" w:color="000001"/>
          <w:bottom w:val="single" w:sz="4" w:space="0" w:color="000001"/>
          <w:insideH w:val="single" w:sz="4" w:space="0" w:color="000001"/>
        </w:tblBorders>
        <w:tblCellMar>
          <w:top w:w="0" w:type="dxa"/>
          <w:left w:w="-5" w:type="dxa"/>
          <w:bottom w:w="0" w:type="dxa"/>
          <w:right w:w="10" w:type="dxa"/>
        </w:tblCellMar>
      </w:tblPr>
      <w:tblGrid>
        <w:gridCol w:w="1516"/>
        <w:gridCol w:w="589"/>
        <w:gridCol w:w="2376"/>
        <w:gridCol w:w="986"/>
        <w:gridCol w:w="1082"/>
        <w:gridCol w:w="1132"/>
        <w:gridCol w:w="1"/>
        <w:gridCol w:w="1272"/>
      </w:tblGrid>
      <w:tr>
        <w:trPr/>
        <w:tc>
          <w:tcPr>
            <w:tcW w:w="151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pPr>
            <w:r>
              <w:rPr/>
            </w:r>
          </w:p>
        </w:tc>
        <w:tc>
          <w:tcPr>
            <w:tcW w:w="589"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Item</w:t>
            </w:r>
          </w:p>
        </w:tc>
        <w:tc>
          <w:tcPr>
            <w:tcW w:w="237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Descrição</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Unidade de medida</w:t>
            </w:r>
          </w:p>
        </w:tc>
        <w:tc>
          <w:tcPr>
            <w:tcW w:w="108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Quantidade</w:t>
            </w:r>
          </w:p>
        </w:tc>
        <w:tc>
          <w:tcPr>
            <w:tcW w:w="113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Valor Unitário máximo aceitável</w:t>
            </w:r>
          </w:p>
        </w:tc>
        <w:tc>
          <w:tcPr>
            <w:tcW w:w="127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Valor Total</w:t>
            </w:r>
          </w:p>
        </w:tc>
      </w:tr>
      <w:tr>
        <w:trPr/>
        <w:tc>
          <w:tcPr>
            <w:tcW w:w="1516" w:type="dxa"/>
            <w:vMerge w:val="restart"/>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pPr>
            <w:r>
              <w:rPr/>
              <w:t>Grupo I</w:t>
            </w:r>
          </w:p>
        </w:tc>
        <w:tc>
          <w:tcPr>
            <w:tcW w:w="589"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w:t>
            </w:r>
          </w:p>
        </w:tc>
        <w:tc>
          <w:tcPr>
            <w:tcW w:w="237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Prestação de serviços continuados de manutenção preventiva e corretiva nos veículos oficiais leves pertencentes à frota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Hora /Serviço Mecânico</w:t>
            </w:r>
          </w:p>
        </w:tc>
        <w:tc>
          <w:tcPr>
            <w:tcW w:w="108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76</w:t>
            </w:r>
          </w:p>
        </w:tc>
        <w:tc>
          <w:tcPr>
            <w:tcW w:w="113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R$ 95,00</w:t>
            </w:r>
          </w:p>
        </w:tc>
        <w:tc>
          <w:tcPr>
            <w:tcW w:w="127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R$ 7.220,00</w:t>
            </w:r>
          </w:p>
        </w:tc>
      </w:tr>
      <w:tr>
        <w:trPr/>
        <w:tc>
          <w:tcPr>
            <w:tcW w:w="1516" w:type="dxa"/>
            <w:vMerge w:val="continue"/>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pPr>
            <w:r>
              <w:rPr/>
            </w:r>
          </w:p>
        </w:tc>
        <w:tc>
          <w:tcPr>
            <w:tcW w:w="589"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w:t>
            </w:r>
          </w:p>
        </w:tc>
        <w:tc>
          <w:tcPr>
            <w:tcW w:w="237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Peças de reposição veículos leves.</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unidade</w:t>
            </w:r>
          </w:p>
        </w:tc>
        <w:tc>
          <w:tcPr>
            <w:tcW w:w="108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55</w:t>
            </w:r>
          </w:p>
        </w:tc>
        <w:tc>
          <w:tcPr>
            <w:tcW w:w="113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R$ 133,88</w:t>
            </w:r>
          </w:p>
        </w:tc>
        <w:tc>
          <w:tcPr>
            <w:tcW w:w="127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R$ 7.363,40</w:t>
            </w:r>
          </w:p>
        </w:tc>
      </w:tr>
      <w:tr>
        <w:trPr/>
        <w:tc>
          <w:tcPr>
            <w:tcW w:w="1516" w:type="dxa"/>
            <w:vMerge w:val="restart"/>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pPr>
            <w:r>
              <w:rPr/>
            </w:r>
          </w:p>
          <w:p>
            <w:pPr>
              <w:pStyle w:val="Corpodetexto"/>
              <w:spacing w:before="0" w:after="120"/>
              <w:jc w:val="center"/>
              <w:rPr/>
            </w:pPr>
            <w:r>
              <w:rPr/>
              <w:t>Grupo II</w:t>
            </w:r>
          </w:p>
        </w:tc>
        <w:tc>
          <w:tcPr>
            <w:tcW w:w="589"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3</w:t>
            </w:r>
          </w:p>
        </w:tc>
        <w:tc>
          <w:tcPr>
            <w:tcW w:w="237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Prestação de serviços continuados de manutenção preventiva e corretiva nos veículos oficiais a diesel pertencentes à frota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Hora /Serviço Mecânico</w:t>
            </w:r>
          </w:p>
        </w:tc>
        <w:tc>
          <w:tcPr>
            <w:tcW w:w="108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66</w:t>
            </w:r>
          </w:p>
        </w:tc>
        <w:tc>
          <w:tcPr>
            <w:tcW w:w="113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R$ 106,00</w:t>
            </w:r>
          </w:p>
        </w:tc>
        <w:tc>
          <w:tcPr>
            <w:tcW w:w="127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R$ 6.996,00</w:t>
            </w:r>
          </w:p>
        </w:tc>
      </w:tr>
      <w:tr>
        <w:trPr/>
        <w:tc>
          <w:tcPr>
            <w:tcW w:w="1516" w:type="dxa"/>
            <w:vMerge w:val="continue"/>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pPr>
            <w:r>
              <w:rPr/>
            </w:r>
          </w:p>
        </w:tc>
        <w:tc>
          <w:tcPr>
            <w:tcW w:w="589"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w:t>
            </w:r>
          </w:p>
        </w:tc>
        <w:tc>
          <w:tcPr>
            <w:tcW w:w="237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Peças de reposição veículos a diesel.</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unidade</w:t>
            </w:r>
          </w:p>
        </w:tc>
        <w:tc>
          <w:tcPr>
            <w:tcW w:w="108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65</w:t>
            </w:r>
          </w:p>
        </w:tc>
        <w:tc>
          <w:tcPr>
            <w:tcW w:w="1132"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R$ 170,38</w:t>
            </w:r>
          </w:p>
        </w:tc>
        <w:tc>
          <w:tcPr>
            <w:tcW w:w="127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R$11.074,70</w:t>
            </w:r>
          </w:p>
        </w:tc>
      </w:tr>
      <w:tr>
        <w:trPr/>
        <w:tc>
          <w:tcPr>
            <w:tcW w:w="151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pPr>
            <w:r>
              <w:rPr/>
            </w:r>
          </w:p>
        </w:tc>
        <w:tc>
          <w:tcPr>
            <w:tcW w:w="6166" w:type="dxa"/>
            <w:gridSpan w:val="6"/>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Valor Global R$    </w:t>
            </w:r>
          </w:p>
        </w:tc>
        <w:tc>
          <w:tcPr>
            <w:tcW w:w="12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R$ 32.654,10</w:t>
            </w:r>
          </w:p>
        </w:tc>
      </w:tr>
    </w:tbl>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*Memória de cálculo do contrato anterior anexa a este edital.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2.4.2 </w:t>
        <w:tab/>
        <w:t>A quantidade de peças constantes nestes itens, tratam-se de uma mera referência a componentes que poderão ser substituídos, servindo para avaliação de custos pela licitante, não constituindo, portanto, a totalidade de peças, componentes e acessórios passíveis de substituição a que faz referência o presente Termo.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2.4.3. A quantidade de horas técnicas e peças para manutenção dos veículos oficiais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foi estimada tendo como referência o último contrato vigente, acrescido de 25%,  tendo em vista a depreciação dos mesmos.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2.4.4. O valor total em peças de reposição mencionado no item 2.1 foi estimado tendo como referência o último contrato vigente, acrescido de 25%, tendo em vista a depreciação/desgaste das peças e a inclusão de veículo com mais de cinco anos de uso.</w:t>
      </w:r>
    </w:p>
    <w:p>
      <w:pPr>
        <w:pStyle w:val="Corpodetexto"/>
        <w:jc w:val="both"/>
        <w:rPr>
          <w:rFonts w:ascii="Arial" w:hAnsi="Arial"/>
          <w:b w:val="false"/>
          <w:b w:val="false"/>
          <w:bCs w:val="false"/>
          <w:i w:val="false"/>
          <w:i w:val="false"/>
          <w:iCs w:val="false"/>
          <w:sz w:val="20"/>
          <w:szCs w:val="20"/>
        </w:rPr>
      </w:pPr>
      <w:r>
        <w:rPr>
          <w:rFonts w:ascii="Arial" w:hAnsi="Arial"/>
          <w:b/>
          <w:bCs/>
          <w:i w:val="false"/>
          <w:iCs w:val="false"/>
          <w:sz w:val="20"/>
          <w:szCs w:val="20"/>
          <w:highlight w:val="yellow"/>
        </w:rPr>
        <w:t>2.4.5. O valor das peças mencionado no item 2.1 não deve ser alterado para fins de formulação de lances e propostas, em caso de alteração deste valor, a proposta será desclassificada.</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3. CLASSIFICAÇÃO DOS BENS COMUNS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3.1. Trata-se de serviço comum de caráter continuado sem fornecimento de mão de obra em regime de dedicação exclusiva, a ser contratado mediante licitação, na modalidade CONVITE, de acordo com § 3º, Art. 22 da Lei nº 8.666/93.</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3.2. Os serviços a serem contratados enquadram-se nos pressupostos do Decreto nº 9.507, de 21 de setembro de 2018, não se constituindo em quaisquer das atividades, previstas no art. 3º do aludido decreto, cuja execução indireta é vedada.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3.3. A prestação dos serviços não gera vínculo empregatício entre os empregados da Contratada e a Administração da Contratante, vedando-se qualquer relação entre estes que caracterize pessoalidade e subordinação direta.</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4. ENTREGA E CRITÉRIO DE ACEITAÇÃO DO OBJETO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 ORÇAMENTO E APROVAÇÃO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4.1.1. A cada serviço, o CONTRATANTE emitirá uma ordem de serviço, solicitando à CONTRATADA um orçamento que deverá ser, por esta, preparado de forma detalhada, abrangendo nome, código e quantidade de peças, número de horas e serviços a serem executados, bem como prazo para realização dos serviços, tipo e modelo do veículo, placa e quilometragem constante no odômetro do veículo e garantia do serviço.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4.1.2. As peças e suas quantidades, bem como o número de horas e serviços a serem executados, deverão estar de acordo com a tabela indicada neste termo, e corresponder ao efetivamente necessário para a realização da respectiva manutenção do veículo, devendo a CONTRATADA se abster de propor peças, serviços e horas em desacordo com o realmente empregado em cada caso concreto.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4.1.3. Após o ingresso do veículo em suas dependências, juntamente com o encaminhamento emitido pelo CONTRATANTE, a CONTRATADA deverá apresentar o respectivo orçamento no prazo máximo de 24 (vinte e quatro) horas.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4.1.4. O CONTRATANTE poderá recusar o orçamento, pedir sua revisão ou aceitá-lo parcialmente, comprometendo-se a CONTRATADA a executar ou fornecer o que for aprovado no todo ou em parte.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4.1.5. Os serviços previstos neste Termo de Referência, a serem executados na frota de veículos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 serão realizados pela CONTRATADA, após o recebimento da autorização de execução de serviço, expedida pelo CONTRATANTE, ficando obrigada a devolvê-los em perfeitas condições de funcionamento, realizando tais serviços com pessoal qualificado, mediante emprego de técnica e ferramental adequados, observando-se as seguintes condições: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4.1.6. Os veículos deverão ser mantidos em local coberto, limpo e fechado, sem acesso do público externo, deixando-os livres da ação da chuva, vento, poeira e demais intempéries.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4.1.7. Somente utilizar peças, materiais e acessórios originais para cada marca e tipo de veículo, de primeiro uso, que atendam as recomendações do fabricante do veículo, não podendo valer-se de itens recondicionados, recuperados, do mercado paralelo ou de outra procedência, salvo em situações excepcionais com prévia autorização do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4.1.7.1. Para fins deste Projeto Básico e do Contrato, serão consideradas: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a) Original: Peças com as mesmas especificações, fabricantes e referências das utilizadas na linha de montagem original do veículo.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b) Mercado Paralelo: Todas as peças que não forem originais ou genuínas.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4.1.7.2. Independente do tipo da peça autorizada, esta deverá possuir garantia mínima nos mesmos prazos estabelecidos no item 11.</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4.1.8. Executar os serviços no prazo necessário, não sendo superior a 10 (dez) dias úteis para os casos de retífica de motor e 04 (quatro) dias úteis para os demais serviços, contados a partir da autorização para realização do serviço, mediante aprovação total ou parcial do orçamento apresentado, conforme itens 5.3., 5.4. e 5.5. Após a execução do serviço, o veículo deverá ser entregue no prazo máximo de 24 (vinte e quatro) horas.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4.1.8.1. Os prazos a que se refere o subitem anterior poderão ser prorrogados uma única vez, por igual período, mediante solicitação fundamentada a ser protocolada antes do vencimento do prazo inicial, cabendo a Administração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 manifestar-se no prazo de até 02 (dois) dias úteis.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4.1.9. Devolver todas as peças substituídas e/ou inutilizadas na embalagem da nova peça adquirida, devidamente protegidas de qualquer vazamento de óleo, assim que o serviço for executado, e antes da efetivação do pagamento daquele serviço.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4.1.10. É proibida a subcontratação total do objeto deste Termo de Referência.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4.1.11. Os serviços em execução poderão ser fiscalizados a qualquer momento pelo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4.1.12. A CONTRATANTE poderá recusar o orçamento pedir revisão comprometendo-se a contratada a executar e fornecer o que foi aprovado;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4.1.13. A CONTRATADA deverá indicar, obrigatoriamente no orçamento prévio, o prazo para execução dos serviços orçados, contados da data de entrada do veículo em sua oficina.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4.2. INFORMAÇÕES RELEVANTES PARA O DIMENSIONAMENTO DA PROPOSTA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4.2.1. E</w:t>
      </w:r>
      <w:r>
        <w:rPr>
          <w:rFonts w:ascii="Arial" w:hAnsi="Arial"/>
          <w:b w:val="false"/>
          <w:bCs w:val="false"/>
          <w:i w:val="false"/>
          <w:iCs w:val="false"/>
          <w:sz w:val="20"/>
          <w:szCs w:val="20"/>
          <w:lang w:val="pt-PT"/>
        </w:rPr>
        <w:t xml:space="preserve">xceto para testes após a manutenção ou avaliações necessárias para a identificação de defeitos, os veículos oficiais só poderão ser conduzidos por condutores indicados pelo </w:t>
      </w:r>
      <w:r>
        <w:rPr>
          <w:rFonts w:ascii="Arial" w:hAnsi="Arial"/>
          <w:b w:val="false"/>
          <w:bCs w:val="false"/>
          <w:i/>
          <w:iCs/>
          <w:sz w:val="20"/>
          <w:szCs w:val="20"/>
          <w:lang w:val="pt-PT"/>
        </w:rPr>
        <w:t>campus</w:t>
      </w:r>
      <w:r>
        <w:rPr>
          <w:rFonts w:ascii="Arial" w:hAnsi="Arial"/>
          <w:b w:val="false"/>
          <w:bCs w:val="false"/>
          <w:i w:val="false"/>
          <w:iCs w:val="false"/>
          <w:sz w:val="20"/>
          <w:szCs w:val="20"/>
          <w:lang w:val="pt-PT"/>
        </w:rPr>
        <w:t>.</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4.2.2. Quando do encaminhamento do veículo para manutenção, a CONTRATADA fica responsável pela recondução do motorista que está entregando o veículo, ao endereço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mencionado no subitem 20.1.1, sem ônus para 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4.2.3. Após a conclusão do serviço, quando da entrega do veículo, a CONTRATADA fica responsável pela condução do motorista do endereço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mencionado no subitem 20.1.1, ao local da retirada, sem ônus para 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lang w:val="pt-PT"/>
        </w:rPr>
        <w:t xml:space="preserve">4.2.4. </w:t>
      </w:r>
      <w:r>
        <w:rPr>
          <w:rFonts w:ascii="Arial" w:hAnsi="Arial"/>
          <w:b w:val="false"/>
          <w:bCs w:val="false"/>
          <w:i w:val="false"/>
          <w:iCs w:val="false"/>
          <w:sz w:val="20"/>
          <w:szCs w:val="20"/>
        </w:rPr>
        <w:t>Sempre que ocorrer uma pane no veículo e o mesmo não tiver como ser consertado no local, será utilizado o serviço de reboque, que deverá ser providenciado pela CONTRATADA.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4.2.5. Quando da solicitação de orçamento prévio, a CONTRATANTE determinará o prazo máximo para apresentação do mesmo, que não poderá exceder a 48 (quarenta e oito) horas;</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6. METODOLOGIA DE AVALIAÇÃO DA EXECUÇÃO DO SERVIÇO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6.1. Incumbirá a contratada a obrigação de apresentar, juntamente com as notas fiscais/faturas, o calculo minucioso e demonstração analítica das notas fiscais/faturas apresentadas, submetendo-os à aprovação pelo Instituto Federal Sul Rio-grandense</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7. REQUISITOS DA CONTRATAÇÃO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lang w:eastAsia="ar-SA"/>
        </w:rPr>
        <w:t xml:space="preserve">7.1. É necessário para a prestação do serviço que a empresa contratada, além de prestar os serviços continuados de manutenção preventiva e corretiva, incluindo mão de obra e peças de reposição, nos veículos oficiais, onde se inclui serviços classificados como leves, tais como: mecânica em geral, sistema elétrico/eletrônico, sistema de refrigeração, ar condicionado, direção hidráulica, serviços de tapeçaria, vidraçaria, estofamento, balanceamento e alinhamento de rodas, cambagem, cáster, troca de óleo e filtros, troca de extintores, alinhamento de direção, lubrificação e instalação de acessórios, substituição e conserto de pneus, e outros serviços considerados necessários para manter em perfeito funcionamento os veículos oficiais pertencentes à frota do </w:t>
      </w:r>
      <w:r>
        <w:rPr>
          <w:rFonts w:ascii="Arial" w:hAnsi="Arial"/>
          <w:b w:val="false"/>
          <w:bCs w:val="false"/>
          <w:i/>
          <w:iCs/>
          <w:sz w:val="20"/>
          <w:szCs w:val="20"/>
          <w:lang w:eastAsia="ar-SA"/>
        </w:rPr>
        <w:t>campus</w:t>
      </w:r>
      <w:r>
        <w:rPr>
          <w:rFonts w:ascii="Arial" w:hAnsi="Arial"/>
          <w:b w:val="false"/>
          <w:bCs w:val="false"/>
          <w:i w:val="false"/>
          <w:iCs w:val="false"/>
          <w:sz w:val="20"/>
          <w:szCs w:val="20"/>
          <w:lang w:eastAsia="ar-SA"/>
        </w:rPr>
        <w:t xml:space="preserve"> Camaquã, sendo</w:t>
      </w:r>
      <w:r>
        <w:rPr>
          <w:rFonts w:ascii="Arial" w:hAnsi="Arial"/>
          <w:b w:val="false"/>
          <w:bCs w:val="false"/>
          <w:i w:val="false"/>
          <w:iCs w:val="false"/>
          <w:sz w:val="20"/>
          <w:szCs w:val="20"/>
          <w:lang w:val="pt-PT"/>
        </w:rPr>
        <w:t>:</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            </w:t>
      </w:r>
      <w:r>
        <w:rPr>
          <w:rFonts w:ascii="Arial" w:hAnsi="Arial"/>
          <w:b w:val="false"/>
          <w:bCs w:val="false"/>
          <w:i w:val="false"/>
          <w:iCs w:val="false"/>
          <w:sz w:val="20"/>
          <w:szCs w:val="20"/>
        </w:rPr>
        <w:t>Grupo 01 -  Veículos Leves</w:t>
      </w:r>
    </w:p>
    <w:tbl>
      <w:tblPr>
        <w:tblW w:w="8672" w:type="dxa"/>
        <w:jc w:val="left"/>
        <w:tblInd w:w="69" w:type="dxa"/>
        <w:tblBorders>
          <w:top w:val="single" w:sz="4" w:space="0" w:color="000001"/>
          <w:left w:val="single" w:sz="4" w:space="0" w:color="000001"/>
          <w:bottom w:val="single" w:sz="4" w:space="0" w:color="000001"/>
          <w:insideH w:val="single" w:sz="4" w:space="0" w:color="000001"/>
        </w:tblBorders>
        <w:tblCellMar>
          <w:top w:w="0" w:type="dxa"/>
          <w:left w:w="48" w:type="dxa"/>
          <w:bottom w:w="0" w:type="dxa"/>
          <w:right w:w="108" w:type="dxa"/>
        </w:tblCellMar>
      </w:tblPr>
      <w:tblGrid>
        <w:gridCol w:w="1978"/>
        <w:gridCol w:w="2101"/>
        <w:gridCol w:w="2115"/>
        <w:gridCol w:w="2477"/>
      </w:tblGrid>
      <w:tr>
        <w:trPr>
          <w:trHeight w:val="373" w:hRule="atLeast"/>
        </w:trPr>
        <w:tc>
          <w:tcPr>
            <w:tcW w:w="1978"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Marca/Modelo</w:t>
            </w:r>
          </w:p>
        </w:tc>
        <w:tc>
          <w:tcPr>
            <w:tcW w:w="2101"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Ano</w:t>
            </w:r>
          </w:p>
        </w:tc>
        <w:tc>
          <w:tcPr>
            <w:tcW w:w="2115"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Placa</w:t>
            </w:r>
          </w:p>
        </w:tc>
        <w:tc>
          <w:tcPr>
            <w:tcW w:w="24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Combustível</w:t>
            </w:r>
          </w:p>
        </w:tc>
      </w:tr>
      <w:tr>
        <w:trPr>
          <w:trHeight w:val="373" w:hRule="atLeast"/>
        </w:trPr>
        <w:tc>
          <w:tcPr>
            <w:tcW w:w="1978"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Toyota/Corola GLI 18 Flex</w:t>
            </w:r>
          </w:p>
        </w:tc>
        <w:tc>
          <w:tcPr>
            <w:tcW w:w="2101"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2009 / 2010</w:t>
            </w:r>
          </w:p>
        </w:tc>
        <w:tc>
          <w:tcPr>
            <w:tcW w:w="2115"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IQJ - 1844</w:t>
            </w:r>
          </w:p>
        </w:tc>
        <w:tc>
          <w:tcPr>
            <w:tcW w:w="24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Gasolina / Álcool</w:t>
            </w:r>
          </w:p>
        </w:tc>
      </w:tr>
      <w:tr>
        <w:trPr>
          <w:trHeight w:val="373" w:hRule="atLeast"/>
        </w:trPr>
        <w:tc>
          <w:tcPr>
            <w:tcW w:w="1978"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Fiat Doblo HLX 1.8 Flex</w:t>
            </w:r>
          </w:p>
        </w:tc>
        <w:tc>
          <w:tcPr>
            <w:tcW w:w="2101"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2010 / 2011</w:t>
            </w:r>
          </w:p>
        </w:tc>
        <w:tc>
          <w:tcPr>
            <w:tcW w:w="2115"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IRS - 1870</w:t>
            </w:r>
          </w:p>
        </w:tc>
        <w:tc>
          <w:tcPr>
            <w:tcW w:w="24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Gasolina / Álcool</w:t>
            </w:r>
          </w:p>
        </w:tc>
      </w:tr>
      <w:tr>
        <w:trPr>
          <w:trHeight w:val="373" w:hRule="atLeast"/>
        </w:trPr>
        <w:tc>
          <w:tcPr>
            <w:tcW w:w="1978"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Trator cortador de grama marca Murray</w:t>
            </w:r>
          </w:p>
        </w:tc>
        <w:tc>
          <w:tcPr>
            <w:tcW w:w="2101"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2012</w:t>
            </w:r>
          </w:p>
        </w:tc>
        <w:tc>
          <w:tcPr>
            <w:tcW w:w="2115" w:type="dxa"/>
            <w:tcBorders>
              <w:top w:val="single" w:sz="4" w:space="0" w:color="000001"/>
              <w:left w:val="single" w:sz="4" w:space="0" w:color="000001"/>
              <w:bottom w:val="single" w:sz="4" w:space="0" w:color="000001"/>
              <w:insideH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w:t>
            </w:r>
          </w:p>
        </w:tc>
        <w:tc>
          <w:tcPr>
            <w:tcW w:w="24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48"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Gasolina (2 tempos)</w:t>
            </w:r>
          </w:p>
        </w:tc>
      </w:tr>
    </w:tbl>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ab/>
        <w:t>Grupo 02 -  Veículos Diesel</w:t>
      </w:r>
    </w:p>
    <w:tbl>
      <w:tblPr>
        <w:tblW w:w="8487" w:type="dxa"/>
        <w:jc w:val="left"/>
        <w:tblInd w:w="201" w:type="dxa"/>
        <w:tblBorders>
          <w:top w:val="single" w:sz="2" w:space="0" w:color="000001"/>
          <w:left w:val="single" w:sz="2" w:space="0" w:color="000001"/>
          <w:bottom w:val="single" w:sz="2" w:space="0" w:color="000001"/>
          <w:insideH w:val="single" w:sz="2" w:space="0" w:color="000001"/>
        </w:tblBorders>
        <w:tblCellMar>
          <w:top w:w="55" w:type="dxa"/>
          <w:left w:w="21" w:type="dxa"/>
          <w:bottom w:w="55" w:type="dxa"/>
          <w:right w:w="55" w:type="dxa"/>
        </w:tblCellMar>
      </w:tblPr>
      <w:tblGrid>
        <w:gridCol w:w="2085"/>
        <w:gridCol w:w="2265"/>
        <w:gridCol w:w="1740"/>
        <w:gridCol w:w="2396"/>
      </w:tblGrid>
      <w:tr>
        <w:trPr/>
        <w:tc>
          <w:tcPr>
            <w:tcW w:w="2085" w:type="dxa"/>
            <w:tcBorders>
              <w:top w:val="single" w:sz="2" w:space="0" w:color="000001"/>
              <w:left w:val="single" w:sz="2" w:space="0" w:color="000001"/>
              <w:bottom w:val="single" w:sz="2" w:space="0" w:color="000001"/>
              <w:insideH w:val="single" w:sz="2" w:space="0" w:color="000001"/>
            </w:tcBorders>
            <w:shd w:fill="FFFFFF" w:val="clear"/>
            <w:tcMar>
              <w:left w:w="21"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Microonibus Agrale / Comil Pia</w:t>
            </w:r>
          </w:p>
        </w:tc>
        <w:tc>
          <w:tcPr>
            <w:tcW w:w="2265" w:type="dxa"/>
            <w:tcBorders>
              <w:top w:val="single" w:sz="2" w:space="0" w:color="000001"/>
              <w:left w:val="single" w:sz="2" w:space="0" w:color="000001"/>
              <w:bottom w:val="single" w:sz="2" w:space="0" w:color="000001"/>
              <w:insideH w:val="single" w:sz="2" w:space="0" w:color="000001"/>
            </w:tcBorders>
            <w:shd w:fill="FFFFFF" w:val="clear"/>
            <w:tcMar>
              <w:left w:w="21"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2010 / 2010</w:t>
            </w:r>
          </w:p>
        </w:tc>
        <w:tc>
          <w:tcPr>
            <w:tcW w:w="1740" w:type="dxa"/>
            <w:tcBorders>
              <w:top w:val="single" w:sz="2" w:space="0" w:color="000001"/>
              <w:left w:val="single" w:sz="2" w:space="0" w:color="000001"/>
              <w:bottom w:val="single" w:sz="2" w:space="0" w:color="000001"/>
              <w:insideH w:val="single" w:sz="2" w:space="0" w:color="000001"/>
            </w:tcBorders>
            <w:shd w:fill="FFFFFF" w:val="clear"/>
            <w:tcMar>
              <w:left w:w="21"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IQT - 5066</w:t>
            </w:r>
          </w:p>
        </w:tc>
        <w:tc>
          <w:tcPr>
            <w:tcW w:w="23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1"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Diesel</w:t>
            </w:r>
          </w:p>
        </w:tc>
      </w:tr>
      <w:tr>
        <w:trPr/>
        <w:tc>
          <w:tcPr>
            <w:tcW w:w="2085" w:type="dxa"/>
            <w:tcBorders>
              <w:top w:val="single" w:sz="2" w:space="0" w:color="000001"/>
              <w:left w:val="single" w:sz="2" w:space="0" w:color="000001"/>
              <w:bottom w:val="single" w:sz="2" w:space="0" w:color="000001"/>
              <w:insideH w:val="single" w:sz="2" w:space="0" w:color="000001"/>
            </w:tcBorders>
            <w:shd w:fill="FFFFFF" w:val="clear"/>
            <w:tcMar>
              <w:left w:w="21"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Ônibus Mercedes Benz / Comil Campione</w:t>
            </w:r>
          </w:p>
        </w:tc>
        <w:tc>
          <w:tcPr>
            <w:tcW w:w="2265" w:type="dxa"/>
            <w:tcBorders>
              <w:top w:val="single" w:sz="2" w:space="0" w:color="000001"/>
              <w:left w:val="single" w:sz="2" w:space="0" w:color="000001"/>
              <w:bottom w:val="single" w:sz="2" w:space="0" w:color="000001"/>
              <w:insideH w:val="single" w:sz="2" w:space="0" w:color="000001"/>
            </w:tcBorders>
            <w:shd w:fill="FFFFFF" w:val="clear"/>
            <w:tcMar>
              <w:left w:w="21"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2014 / 2014</w:t>
            </w:r>
          </w:p>
        </w:tc>
        <w:tc>
          <w:tcPr>
            <w:tcW w:w="1740" w:type="dxa"/>
            <w:tcBorders>
              <w:top w:val="single" w:sz="2" w:space="0" w:color="000001"/>
              <w:left w:val="single" w:sz="2" w:space="0" w:color="000001"/>
              <w:bottom w:val="single" w:sz="2" w:space="0" w:color="000001"/>
              <w:insideH w:val="single" w:sz="2" w:space="0" w:color="000001"/>
            </w:tcBorders>
            <w:shd w:fill="FFFFFF" w:val="clear"/>
            <w:tcMar>
              <w:left w:w="21"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IWE – 1589</w:t>
            </w:r>
          </w:p>
        </w:tc>
        <w:tc>
          <w:tcPr>
            <w:tcW w:w="23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1"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Diesel</w:t>
            </w:r>
          </w:p>
        </w:tc>
      </w:tr>
    </w:tbl>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7.2. Os serviços deverão ser prestados dentro dos parâmetros e rotinas estabelecidos, com fornecimento de mão de obra e respectivos insumos, e, ainda, em observância às recomendações aceitas pela boa técnica, normas e legislação aplicável.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7.3. Além dos veículos mencionados acima, a CONTRATADA obriga-se a prestar os mesmos serviços constantes neste Projeto Básico a qualquer outro de mesma categoria que o IFSul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venha a adquirir durante a vigência do Contrato, até o limite legal.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7.4. Os veículos deverão ser mantidos em local coberto, limpo e fechado, sem acesso do público externo, deixando-os livres da ação da chuva, vento, poeira e demais intempéries.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7.5. Somente utilizar peças, materiais e acessórios originais para cada marca e tipo de veículo, de primeiro uso, que atendam as recomendações do fabricante do veículo, não podendo valer-se de itens recondicionados, recuperados, do mercado paralelo ou de outra procedência, salvo em situações excepcionais com prévia autorização do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7.5.1. Para fins deste Projeto Básico e do Contrato, serão consideradas: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a) Original: Peças com as mesmas especificações, fabricantes e referências das utilizadas na linha de montagem original do veículo.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b) Mercado Paralelo: Todas as peças que não forem originais ou genuínas.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7.6. Executar os serviços no prazo necessário, não sendo superior a 10 (dez) dias úteis para os casos de retífica de motor e 04 (quatro) dias úteis para os demais serviços, contados a partir da autorização para realização do serviço, mediante aprovação total ou parcial do orçamento apresentado. Após a execução do serviço, o veículo deverá ser entregue no prazo máximo de 24 (vinte e quatro) horas.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7.7. Os prazos a que se refere o subitem anterior poderão ser prorrogados uma única vez, por igual período, mediante solicitação fundamentada a ser protocolada antes do vencimento do prazo inicial, cabendo a Administração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 manifestar-se no prazo de até 02 (dois) dias úteis.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7.8. Devolver todas as peças substituídas e/ou inutilizadas na embalagem da nova peça adquirida, devidamente protegidas de qualquer vazamento de óleo, assim que o serviço for executado, e antes da efetivação do pagamento daquele serviço.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7.9. É proibida a subcontratação total do objeto do Termo de Referência.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7.10. Os serviços em execução poderão ser fiscalizados a qualquer momento pelo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7.11. E</w:t>
      </w:r>
      <w:r>
        <w:rPr>
          <w:rFonts w:ascii="Arial" w:hAnsi="Arial"/>
          <w:b w:val="false"/>
          <w:bCs w:val="false"/>
          <w:i w:val="false"/>
          <w:iCs w:val="false"/>
          <w:sz w:val="20"/>
          <w:szCs w:val="20"/>
          <w:lang w:val="pt-PT"/>
        </w:rPr>
        <w:t xml:space="preserve">xceto para testes após a manutenção ou avaliações necessárias para a identificação de defeitos, os veículos oficiais só poderão ser conduzidos por condutores indicados pelo </w:t>
      </w:r>
      <w:r>
        <w:rPr>
          <w:rFonts w:ascii="Arial" w:hAnsi="Arial"/>
          <w:b w:val="false"/>
          <w:bCs w:val="false"/>
          <w:i/>
          <w:iCs/>
          <w:sz w:val="20"/>
          <w:szCs w:val="20"/>
          <w:lang w:val="pt-PT"/>
        </w:rPr>
        <w:t>campus</w:t>
      </w:r>
      <w:r>
        <w:rPr>
          <w:rFonts w:ascii="Arial" w:hAnsi="Arial"/>
          <w:b w:val="false"/>
          <w:bCs w:val="false"/>
          <w:i w:val="false"/>
          <w:iCs w:val="false"/>
          <w:sz w:val="20"/>
          <w:szCs w:val="20"/>
          <w:lang w:val="pt-PT"/>
        </w:rPr>
        <w:t>.</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7.12. Quando do encaminhamento do veículo para manutenção, a CONTRATADA fica responsável pela recondução do motorista que está entregando o veículo, ao endereço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sem ônus para 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7.13. Após a conclusão do serviço, quando da entrega do veículo, a CONTRATADA fica responsável pela condução do motorista do endereço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ao local da retirada, sem ônus para 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lang w:val="pt-PT"/>
        </w:rPr>
        <w:t xml:space="preserve">7.14. </w:t>
      </w:r>
      <w:r>
        <w:rPr>
          <w:rFonts w:ascii="Arial" w:hAnsi="Arial"/>
          <w:b w:val="false"/>
          <w:bCs w:val="false"/>
          <w:i w:val="false"/>
          <w:iCs w:val="false"/>
          <w:sz w:val="20"/>
          <w:szCs w:val="20"/>
        </w:rPr>
        <w:t>Sempre que ocorrer uma pane no veículo e o mesmo não tiver como ser consertado no local, será utilizado o serviço de reboque, que deverá ser providenciado pela CONTRATADA.</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8. MODELO DE GESTÃO DO CONTRATO E CRITÉRIO DE MEDIÇÃO E PAGAMENTO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8.1. A Contratada deverá indicar um preposto para, se aceito pelo Instituto Federal Sul-rio-grandense, representá-la na execução do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8.2. Disponibilizar acesso ao Sistema AUDATEX MOLICAR ou outro instrumento hábil similar, composta por uma ferramenta que possibilita ao gestor/fiscal efetuar consulta on-line à tabela de tempos de mão de obra padrão (Tabela Tempária), conforme informação técnica do Sindicato da Indústria e Reparação de Veículos e Acessórios.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8.3. Os pagamentos serão efetuados mensalmente e deverão ser referentes a todos os serviços executados no período, devendo ser emitida uma nota fiscal constando os valores dos serviços, representado pela soma total das horas de serviço multiplicado pelo valor unitário da hora técnica, e outra nota, constando o valor discriminado e total das eventuais peças substituídas.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8.4. Os pagamentos à CONTRATADA serão efetuados após aceitos os serviços, mediante a apresentação das respectivas notas fiscais/faturas, no prazo de 30 (trinta) dias úteis contados a partir do ateste dessas.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8.5. O valor a ser pago pelo Serviço de Manutenção Preventiva e Corretiva será o resultado do produto do “preço da hora técnica proposta pelo licitante (Homem/Hora)”, pelo tempo descrito em horas, necessário para a execução dos serviços, em conformidade com a TABELA TEMPÁRIA DA RESPECTIVA MONTADORA, fornecido através do Sistema Audatex Brasil Molicar (utilizado pelas empresas autorizadas, seguradoras e reparadoras de veículos) ou outro instrumento hábil similar, composta por uma ferramenta que possibilita ao gestor/fiscal efetuar consulta on-line, a tabela de tempos de mão de obra padrão (Tabela Tempária).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8.6. Em caso de demora, por parte da CONTRATADA, na apresentação das notas fiscais/faturas acompanhadas de demonstrativo de cálculo, ficará preservado o prazo do Instituto Federal Sul Rio-grandense para proceder ao pagamento respectivo, sem qualquer acréscimo ou reajuste.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8.7. O Instituto Federal Sul Rio-grandense poderá, na nota fiscal/fatura respectiva, efetuar desconto proporcional à inexecução parcial dos serviços, na forma prescrita pelo presente instrumento contratual, independentemente das outras penalidades aplicáveis.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8.8. No momento do pagamento, será consultado o SICAF para comprovação da regularidade da contratada.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8.9. Após o devido processamento, havendo a CONTRATADA apresentado os documentos exigidos, os pagamentos serão creditados em nome da contratada na conta bancária indicada.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8.10. O CONTRATANTE poderá sustar o pagamento de qualquer fatura, no todo ou em parte, nos seguintes casos: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8.10.1. Impostos, contribuições, tributos em geral e demais valores referentes à retenção obrigatória;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8.10.2. Valores referentes a multas e quaisquer outras penalidades pecuniárias, cuja aplicação tenha transitado em julgado na esfera administrativa, desde que não haja suspensão determinada em juízo;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8.10.3. Valores referentes a indenizações ou despesas de qualquer natureza impostas ao CONTRATANTE por autoridade competente, em decorrência de descumprimento, pela contratada, de leis, regulamentos aplicáveis, sentenças judiciais, decisões administrativas etc;</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8.10.4. Pagamentos anteriores indevidamente feitos pelo CONTRATANTE à CONTRATADA.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8.11. Os preços das peças a serem substituídas deverão estar compatíveis com o valor de mercado, os quais serão pesquisados quando da apresentação do orçamento, ficando a CONTRATADA obrigada a fornecer as peças, no máximo, pela média dos valores encontrados na pesquisa.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8.12. O prazo de garantia dos serviços, peças e acessórios utilizados deverá ser de, no mínimo, 03 (três) meses, contado da data do recebimento do veículo pelo CONTRATANTE, devidamente consertado.</w:t>
      </w:r>
    </w:p>
    <w:p>
      <w:pPr>
        <w:pStyle w:val="Corpodetexto"/>
        <w:jc w:val="both"/>
        <w:rPr>
          <w:rFonts w:ascii="Arial" w:hAnsi="Arial"/>
          <w:sz w:val="20"/>
          <w:szCs w:val="20"/>
        </w:rPr>
      </w:pPr>
      <w:r>
        <w:rPr>
          <w:rFonts w:ascii="Arial" w:hAnsi="Arial"/>
          <w:b/>
          <w:bCs/>
          <w:i w:val="false"/>
          <w:iCs w:val="false"/>
          <w:sz w:val="20"/>
          <w:szCs w:val="20"/>
        </w:rPr>
        <w:t>10. DO INÍCIO DA EXECUÇÃO DOS SERVIÇOS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10.1. O prazo de início da execução do serviço deverá ser de, no máximo, 21 (vinte e um) dias, contados a partir do recebimento da Nota de Empenho.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10.2. O prazo para assumir os serviços objeto da presente licitação é de 72 (setenta e duas) horas após a assinatura do respectivo instrumento de Contrato.</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11. OBRIGAÇÕES DA CONTRATANTE</w:t>
      </w:r>
    </w:p>
    <w:p>
      <w:pPr>
        <w:pStyle w:val="Corpodetexto"/>
        <w:jc w:val="both"/>
        <w:rPr>
          <w:rFonts w:ascii="Arial" w:hAnsi="Arial"/>
          <w:b/>
          <w:b/>
          <w:bCs/>
          <w:i w:val="false"/>
          <w:i w:val="false"/>
          <w:iCs w:val="false"/>
          <w:sz w:val="20"/>
          <w:szCs w:val="20"/>
        </w:rPr>
      </w:pPr>
      <w:r>
        <w:rPr>
          <w:rFonts w:ascii="Arial" w:hAnsi="Arial"/>
          <w:b w:val="false"/>
          <w:bCs w:val="false"/>
          <w:i w:val="false"/>
          <w:iCs w:val="false"/>
          <w:sz w:val="20"/>
          <w:szCs w:val="20"/>
        </w:rPr>
        <w:t>11.1. Exercer a fiscalização dos serviços por servidores especialmente designados para esse fim, na forma prevista na Lei nº 8666/93, procedendo ao atesto das respectivas Notas Fiscais/Faturas, com ressalvas e/ou glosas que se fizerem necessárias;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11.1.1. Anotar em registro próprio as falhas detectadas, indicando dia, mês e ano, bem como o nome dos empregados eventualmente envolvidos, e encaminhando os apontamentos à autoridade competente para as providências cabíveis;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11.1.2 Notificar a Contratada por escrito da ocorrência de eventuais imperfeições no curso da execução dos serviços, fixando prazo para a sua correção;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11.2. Proporcionar todas as facilidades para que a Contratada possa cumprir suas obrigações dentro dos prazos e condições estabelecidas no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11.3. Efetuar o pagamento dos serviços prestados nas condições estabelecidas no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11.3.1 Efetuar as retenções tributárias devidas sobre o valor da Nota Fiscal/Fatura fornecida pela contratada, no que couber, em conformidade com o item 6 do Anexo XI da IN SEGES/MP n. 5/2017.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11.4. Rejeitar, no todo ou em parte, os serviços executados em desacordo com as respectivas especificações;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11.5. Atestar a prestação dos serviços objeto do Contrato, sempre por escrito, uma vez cumprido o acertado entre as partes.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11.6. Colocar à disposição da CONTRATADA, para execução dos serviços, os veículos de sua propriedade.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11.7. Solicitar, de imediato, a prestação dos serviços, conforme estabelecido neste Termo de Referência.</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12. OBRIGAÇÕES DA CONTRATADA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 Executar fielmente e dentro das melhores condições das normas técnicas os serviços que lhe forem confiados, conforme o presente edital de licitação e contrato, observando especificações da Ordem de Execução dos Serviços, bem como executar tudo o que não for explicitamente mencionado, mas que seja necessário à perfeita execução dos serviços.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 Iniciar a prestação dos serviços imediatamente após recebida a autorização da Administração, informando em tempo hábil, qualquer motivo impeditivo ao início de sua execução;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12.3. Realizar o serviço, no prazo e condições definidos neste edital e Termo de Referência, além das obrigações assumidas na proposta firmada pela contratada e dirigida a Contratante, que, independentemente de transcrição, faz parte integrante e complementar do Contrato, no que não o contrarie.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12.4. Atender com prioridade as solicitações do CONTRATANTE, para execução de serviços, através de um sistema de agendamento de manutenção preventiva, por meio de um controle periódico estimado pela média de quilometragem percorrida de cada veículo, sem ônus adicionais para 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12.5. Responder, em relação aos seus empregados, por todas as despesas decorrentes do fornecimento do objeto licitado, tais como: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a) salários;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b) seguros de acidentes;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c) taxas, impostos e contribuições;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d) indenizações; e) vales-refeição;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f) vales-transporte; e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g) outras que porventura venham a ser criadas e exigidas pelo Governo;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12.6. Responder pelos danos causados diretamente à Administração do CONTRATANTE ou a terceiros, decorrentes de sua culpa ou dolo quando da entrega do objeto, não excluindo ou reduzindo essa responsabilidade à fiscalização pelo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12.7. Responder, ainda, por quaisquer danos causados diretamente ao objeto licitado e outros bens de propriedade do CONTRATANTE, quando estes tenham sido ocasionados por empregados credenciados para a entrega do objeto;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12.8. Reparar, corrigir, remover, reconstruir ou substituir, às suas expensas, no total ou em parte, no prazo fixado pelo fiscal do contrato, o serviço entregue, se este apresentar vícios, defeitos, incorreções ou fora das especificações;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12.9. Assumir a responsabilidade pelos encargos sociais, fiscais e comerciais resultantes da adjudicação;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12.10. Assumir, também, a responsabilidade por todas as providências e obrigações estabelecidas na legislação específica de acidentes do trabalho, quando, em ocorrência da espécie, forem vítimas os seus empregados;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12.11. Manter durante a execução do contrato, todas as condições de habilitação e qualificação exigidas no presente Edital;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12.12. Pagar todos os tributos devidos em decorrência do Contrato a ser assinado;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12.13. Providenciar as licenças que sejam necessárias à execução dos serviços contratados, ficando ao seu cargo as respectivas despesas;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12.14. Cumprir e fazer cumprir todas as normas regulamentadoras sobre medicina e segurança do trabalho;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12.15. A Contratada deverá indicar um preposto para, se aceito pelo Instituto Federal Sul-rio-grandense, representá-la na execução do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12.15.1. Instruir seus empregados quanto à necessidade de acatar as normas internas da Administração;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12.16. Instruir seus empregados a respeito das atividades a serem desempenhadas, alertando-os a não executar atividades não abrangidas pelo contrato, devendo a Contratada relatar à Contratante toda e qualquer ocorrência neste sentido, a fim de evitar desvio de função;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12.17. Não permitir a utilização de qualquer trabalho do menor de dezesseis anos, exceto na condição de aprendiz para os maiores de quatorze anos; nem permitir a utilização do trabalho do menor de dezoito anos em trabalho noturno, perigoso ou insalubre;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12.18. Disponibilizar acesso ao Sistema AUDATEX MOLICAR ou outro instrumento hábil similar, composta por uma ferramenta que possibilita ao gestor/fiscal efetuar consulta on-line à tabela de tempos de mão de obra padrão (Tabela Tempária), conforme informação técnica do Sindicato da Indústria e Reparação de Veículos e Acessórios. </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12.19. Utilizar, sem qualquer ônus adicional para o CONTRATANTE, todos os materiais, utensílios, equipamentos, ferramentas, instalações, entre outros, necessários para a completa realização dos serviços.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12.20. Realizar com o máximo cuidado os serviços de inspeção de qualidade das peças a serem fornecidas e dos serviços a serem executados, antes de cada entrega do veículo ao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12.21. Reparar, corrigir, remover, substituir, desfazer e/ou refazer, prioritariamente e exclusivamente à sua custa e risco, no total ou em parte e dentro de um prazo não maior que o original, as peças substituídas ou serviços executados com vícios, defeitos, incorreções, erros, falhas, imperfeições ou recusados pelo CONTRATANTE, decorrente de culpa da CONTRATADA, inclusive por emprego de mão de obra, acessórios ou materiais impróprios ou de qualidade inferior, sem que tal fato possa ser invocado para justificar qualquer cobrança adicional, a qualquer título, mesmo nas aquisições e serviços recebidos pelo CONTRATANTE, mas cujas irregularidades venham a surgir quando da aceitação e/ou dentro do prazo de garantia.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12.22. Informar ao CONTRATANTE, através de documento fundamentado, os casos em que o defeito do veículo tenha sido causado por falta de zelo do condutor.</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12.23. Responsabilizar-se integralmente pelos veículos recebidos do CONTRATANTE, incluindo todos os pertences, acessórios e objetos nele contidos, obrigando-se à reparação total da perda em casos de furto ou roubo, incêndios ou acidentes, independente de culpa, desde o momento do recebimento do veículo para orçamento até a entrega do bem ao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12.24. Responder por danos, desaparecimento de bens materiais e avarias, inclusive dos equipamentos e acessórios, causados por seus empregados ou prepostos, não se eximindo ou transferindo a sua responsabilidade ao CONTRATANTE, desde que fique comprovada sua responsabilidade, de acordo com o art. 70, da Lei n.º 8.666/93.</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12.25. Arcar diretamente com as despesas necessárias para a realização de inspeção de vistoria a ser realizada no veículo consertado/recuperado que tenha envolvimento em acidente automobilístico, decorrente de serviço ineficiente, e que tenha resultado danos de média monta, entendendo por média monta os danos sofridos pelo veículo quando houver afetado seus componentes mecânicos e estruturais, envolvendo a substituição de equipamentos de segurança especificados pelo fabricante, e que reconstituídos, possam voltar a circular nas vias públicas. Nestes casos, o recebimento do veículo somente se dará com o recebimento do Certificado de Segurança Veicular – CSV aprovando o veículo para uso, emitido por órgão/entidade credenciado pelo Instituto Nacional de Metrologia – INMETRO.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12.26. Arcar diretamente com todas as despesas necessárias para a realização de laudo técnico a ser realizado nos veículos consertados/recuperados que tenham envolvimento em acidente automobilístico, decorrente de serviço ineficiente, e que tenha resultado danos de grande monta ou perda total, entendendo por grande monta a situação em que o veículo se enquadrar na hipótese do inc. III do art. 1º da Resolução n.º 11 do CONTRAN, de 23 de janeiro de 1998. Nestes casos, o recebimento do veículo somente se dará com o recebimento de laudo pericial aprovando o veículo para uso, emitido por órgão/entidade credenciado pelo Instituto Nacional de Metrologia – INMETRO.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12.27. Se ficar comprovado que o acidente automobilístico não foi decorrente de serviço ineficiente, o comprovante de pagamento das despesas realizadas pela CONTRATADA, relativo a vistorias e laudo técnico nas hipóteses a que se referem os subitens 7.8 e 7.9 deverá ser apresentado ao representante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 acompanhado da Nota Fiscal referente ao serviço prestado no veículo, para ressarcimento da despesa efetivamente realizada, sendo que o ressarcimento somente ocorrerá com a emissão de vistoria e/ou laudo que comprove que o veículo possui perfeitas condições técnicas para circular em vias públicas com segurança.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 xml:space="preserve">12.28. Manter um supervisor responsável pelo gerenciamento dos serviços, com poderes de representante ou preposto para tratar com 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12.29. Prestar todos os esclarecimentos que forem solicitados pelo CONTRATANTE, cujas reclamações obriga-se prontamente a atender.</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12.30. Fornecer ao CONTRATANTE todo o material e documentação técnica necessária para a perfeita administração e acompanhamento do Contrato, no prazo máximo de 05 (cinco) dias úteis após a solicitação formal.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12.31. Entregar os veículos submetidos aos serviços devidamente limpos, ou seja, livres de resíduos provenientes da execução dos serviços, tais como: graxa, óleo, cola, tinta, poeira etc.</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12.32. Atender às solicitações do CONTRATANTE em dias úteis, de segunda a sexta-feira, em horário comercial.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12.33. Somente poderão participar desta licitação as empresas com sede no município de Camaquã/RS.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12.34. A CONTRATADA se compromete a oferecer os seguintes prazos mínimos de garantia: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12.34.1. Serviços em motor, caixa de velocidade e diferencial: 06 (seis) meses ou 10.000 (dez mil) quilômetros, o que ocorrer primeiro; para os demais serviços 03 (três) meses ou 5.000 (cinco mil) quilômetros, o que ocorrer primeiro.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12.34.2 Peças: garantia do fabricante.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12.34.3 A garantia das peças e serviços deverá ser cumprida, mesmo após o término ou rescisão do Contrato, abrangendo todo o limite da garantia ofertada.</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13. DA SUBCONTRATAÇÃO</w:t>
      </w:r>
    </w:p>
    <w:p>
      <w:pPr>
        <w:pStyle w:val="Corpodetexto"/>
        <w:jc w:val="both"/>
        <w:rPr/>
      </w:pPr>
      <w:r>
        <w:rPr>
          <w:rFonts w:ascii="Arial" w:hAnsi="Arial"/>
          <w:b w:val="false"/>
          <w:bCs w:val="false"/>
          <w:i w:val="false"/>
          <w:iCs w:val="false"/>
          <w:sz w:val="20"/>
          <w:szCs w:val="20"/>
        </w:rPr>
        <w:t xml:space="preserve">13.1 </w:t>
      </w:r>
      <w:r>
        <w:rPr>
          <w:rStyle w:val="Nfase"/>
          <w:rFonts w:ascii="Arial" w:hAnsi="Arial"/>
          <w:b w:val="false"/>
          <w:bCs w:val="false"/>
          <w:i w:val="false"/>
          <w:iCs w:val="false"/>
          <w:sz w:val="20"/>
          <w:szCs w:val="20"/>
        </w:rPr>
        <w:t>É permitida a subcontratação parcial do objeto entre os limites mínimo e máximo de 01% e 50%, respectivamente, do valor total do contrato, nas seguintes condições:</w:t>
      </w:r>
    </w:p>
    <w:p>
      <w:pPr>
        <w:pStyle w:val="Corpodetexto"/>
        <w:jc w:val="both"/>
        <w:rPr/>
      </w:pPr>
      <w:r>
        <w:rPr>
          <w:rFonts w:ascii="Arial" w:hAnsi="Arial"/>
          <w:b w:val="false"/>
          <w:bCs w:val="false"/>
          <w:i w:val="false"/>
          <w:iCs w:val="false"/>
          <w:sz w:val="20"/>
          <w:szCs w:val="20"/>
        </w:rPr>
        <w:t xml:space="preserve">13.2. </w:t>
      </w:r>
      <w:r>
        <w:rPr>
          <w:rStyle w:val="Nfase"/>
          <w:rFonts w:ascii="Arial" w:hAnsi="Arial"/>
          <w:b w:val="false"/>
          <w:bCs w:val="false"/>
          <w:i w:val="false"/>
          <w:iCs w:val="false"/>
          <w:sz w:val="20"/>
          <w:szCs w:val="20"/>
        </w:rPr>
        <w:t>É vedada a sub-rogação completa ou da parcela principal da obrigação.</w:t>
      </w:r>
    </w:p>
    <w:p>
      <w:pPr>
        <w:pStyle w:val="Corpodetexto"/>
        <w:jc w:val="both"/>
        <w:rPr/>
      </w:pPr>
      <w:r>
        <w:rPr>
          <w:rFonts w:ascii="Arial" w:hAnsi="Arial"/>
          <w:b w:val="false"/>
          <w:bCs w:val="false"/>
          <w:i w:val="false"/>
          <w:iCs w:val="false"/>
          <w:sz w:val="20"/>
          <w:szCs w:val="20"/>
        </w:rPr>
        <w:t xml:space="preserve">13.3. </w:t>
      </w:r>
      <w:r>
        <w:rPr>
          <w:rStyle w:val="Nfase"/>
          <w:rFonts w:ascii="Arial" w:hAnsi="Arial"/>
          <w:b w:val="false"/>
          <w:bCs w:val="false"/>
          <w:i w:val="false"/>
          <w:iCs w:val="false"/>
          <w:sz w:val="20"/>
          <w:szCs w:val="20"/>
        </w:rPr>
        <w:t>As microempresas e/ou empresas de pequeno porte a serem subcontratadas serão indicadas e qualificadas pela licitante melhor classificada juntamente com a descrição dos bens e/ou serviços a serem por elas fornecidos e seus respectivos valores, no caso da hipótese prevista no artigo 48, II, da LC 123/2006.</w:t>
      </w:r>
    </w:p>
    <w:p>
      <w:pPr>
        <w:pStyle w:val="Corpodetexto"/>
        <w:jc w:val="both"/>
        <w:rPr/>
      </w:pPr>
      <w:r>
        <w:rPr>
          <w:rFonts w:ascii="Arial" w:hAnsi="Arial"/>
          <w:b w:val="false"/>
          <w:bCs w:val="false"/>
          <w:i w:val="false"/>
          <w:iCs w:val="false"/>
          <w:sz w:val="20"/>
          <w:szCs w:val="20"/>
        </w:rPr>
        <w:t xml:space="preserve">13.4. </w:t>
      </w:r>
      <w:r>
        <w:rPr>
          <w:rStyle w:val="Nfase"/>
          <w:rFonts w:ascii="Arial" w:hAnsi="Arial"/>
          <w:b w:val="false"/>
          <w:bCs w:val="false"/>
          <w:i w:val="false"/>
          <w:iCs w:val="false"/>
          <w:sz w:val="20"/>
          <w:szCs w:val="20"/>
        </w:rPr>
        <w:t>São obrigações adicionais da contratada, em razão da subcontratação:</w:t>
      </w:r>
    </w:p>
    <w:p>
      <w:pPr>
        <w:pStyle w:val="Corpodetexto"/>
        <w:jc w:val="both"/>
        <w:rPr/>
      </w:pPr>
      <w:r>
        <w:rPr>
          <w:rFonts w:ascii="Arial" w:hAnsi="Arial"/>
          <w:b w:val="false"/>
          <w:bCs w:val="false"/>
          <w:i w:val="false"/>
          <w:iCs w:val="false"/>
          <w:sz w:val="20"/>
          <w:szCs w:val="20"/>
        </w:rPr>
        <w:t>13.4.1. A</w:t>
      </w:r>
      <w:r>
        <w:rPr>
          <w:rStyle w:val="Nfase"/>
          <w:rFonts w:ascii="Arial" w:hAnsi="Arial"/>
          <w:b w:val="false"/>
          <w:bCs w:val="false"/>
          <w:i w:val="false"/>
          <w:iCs w:val="false"/>
          <w:sz w:val="20"/>
          <w:szCs w:val="20"/>
        </w:rPr>
        <w:t>presentar a documentação de regularidade fiscal das microempresas e empresas de pequeno porte subcontratadas, sob pena de rescisão, aplicando-se o prazo para regularização previsto no § 1º do art. 4º do Decreto nº 8.538, de 2015;</w:t>
      </w:r>
    </w:p>
    <w:p>
      <w:pPr>
        <w:pStyle w:val="Corpodetexto"/>
        <w:jc w:val="both"/>
        <w:rPr/>
      </w:pPr>
      <w:r>
        <w:rPr>
          <w:rFonts w:ascii="Arial" w:hAnsi="Arial"/>
          <w:b w:val="false"/>
          <w:bCs w:val="false"/>
          <w:i w:val="false"/>
          <w:iCs w:val="false"/>
          <w:sz w:val="20"/>
          <w:szCs w:val="20"/>
        </w:rPr>
        <w:t>13.4.2. S</w:t>
      </w:r>
      <w:r>
        <w:rPr>
          <w:rStyle w:val="Nfase"/>
          <w:rFonts w:ascii="Arial" w:hAnsi="Arial"/>
          <w:b w:val="false"/>
          <w:bCs w:val="false"/>
          <w:i w:val="false"/>
          <w:iCs w:val="false"/>
          <w:sz w:val="20"/>
          <w:szCs w:val="20"/>
        </w:rPr>
        <w:t>ubstituir a subcontratada, no prazo máximo de trinta dias, na hipótese de extinção da subcontratação, mantendo o percentual originalmente subcontratado até a sua execução total, notificando o órgão ou entidade contratante, sob pena de rescisão, sem prejuízo das sanções cabíveis, ou a demonstrar a inviabilidade da substituição, hipótese em que ficará responsável pela execução da parcela originalmente subcontratada;</w:t>
      </w:r>
    </w:p>
    <w:p>
      <w:pPr>
        <w:pStyle w:val="Corpodetexto"/>
        <w:jc w:val="both"/>
        <w:rPr/>
      </w:pPr>
      <w:r>
        <w:rPr>
          <w:rFonts w:ascii="Arial" w:hAnsi="Arial"/>
          <w:b w:val="false"/>
          <w:bCs w:val="false"/>
          <w:i w:val="false"/>
          <w:iCs w:val="false"/>
          <w:sz w:val="20"/>
          <w:szCs w:val="20"/>
        </w:rPr>
        <w:t xml:space="preserve">13.5. </w:t>
      </w:r>
      <w:r>
        <w:rPr>
          <w:rStyle w:val="Nfase"/>
          <w:rFonts w:ascii="Arial" w:hAnsi="Arial"/>
          <w:b w:val="false"/>
          <w:bCs w:val="false"/>
          <w:i w:val="false"/>
          <w:iCs w:val="false"/>
          <w:sz w:val="20"/>
          <w:szCs w:val="20"/>
        </w:rPr>
        <w:t>Em qualquer hipótese de subcontratação, permanece a responsabilidade integral da Contratada pela perfeita execução contratual, bem como pela padronização, pela compatibilidade, pelo gerenciamento centralizado e pela qualidade da subcontratação, cabendo-lhe realizar a supervisão e coordenação das atividades da subcontratada, bem como responder perante a Contratante pelo rigoroso cumprimento das obrigações contratuais correspondentes ao objeto da subcontratação.</w:t>
      </w:r>
    </w:p>
    <w:p>
      <w:pPr>
        <w:pStyle w:val="Corpodetexto"/>
        <w:jc w:val="both"/>
        <w:rPr/>
      </w:pPr>
      <w:r>
        <w:rPr>
          <w:rFonts w:ascii="Arial" w:hAnsi="Arial"/>
          <w:b w:val="false"/>
          <w:bCs w:val="false"/>
          <w:i w:val="false"/>
          <w:iCs w:val="false"/>
          <w:sz w:val="20"/>
          <w:szCs w:val="20"/>
        </w:rPr>
        <w:t xml:space="preserve">13.6. </w:t>
      </w:r>
      <w:r>
        <w:rPr>
          <w:rStyle w:val="Nfase"/>
          <w:rFonts w:ascii="Arial" w:hAnsi="Arial"/>
          <w:b w:val="false"/>
          <w:bCs w:val="false"/>
          <w:i w:val="false"/>
          <w:iCs w:val="false"/>
          <w:sz w:val="20"/>
          <w:szCs w:val="20"/>
        </w:rPr>
        <w:t>Não será aplicável a exigência de subcontratação quando a licitante for qualificada como microempresa ou empresa de pequeno porte.</w:t>
      </w:r>
    </w:p>
    <w:p>
      <w:pPr>
        <w:pStyle w:val="Corpodetexto"/>
        <w:jc w:val="both"/>
        <w:rPr/>
      </w:pPr>
      <w:r>
        <w:rPr>
          <w:rStyle w:val="Nfaseforte"/>
          <w:rFonts w:ascii="Arial" w:hAnsi="Arial"/>
          <w:sz w:val="20"/>
          <w:szCs w:val="20"/>
        </w:rPr>
        <w:t>14. ALTERAÇÃO SUBJETIVA</w:t>
      </w:r>
    </w:p>
    <w:p>
      <w:pPr>
        <w:pStyle w:val="Corpodetexto"/>
        <w:jc w:val="both"/>
        <w:rPr>
          <w:rFonts w:ascii="Arial" w:hAnsi="Arial"/>
          <w:sz w:val="20"/>
          <w:szCs w:val="20"/>
        </w:rPr>
      </w:pPr>
      <w:r>
        <w:rPr>
          <w:rFonts w:ascii="Arial" w:hAnsi="Arial"/>
          <w:b w:val="false"/>
          <w:bCs w:val="false"/>
          <w:i w:val="false"/>
          <w:iCs w:val="false"/>
          <w:sz w:val="20"/>
          <w:szCs w:val="20"/>
        </w:rPr>
        <w:t>14.1. É admissível a fusão, cisão ou incorporação da contratada com/por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15. CONTROLE E FISCALIZAÇÃO DA EXECUÇÃO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 Não obstante, a Contratada, seja única e exclusiva responsável pela execução de todos os serviços, o Contratante, reserva-se o direito de, sem que de qualquer forma restrinja a plenitude desta responsabilidade, exercer a mais ampla e completa fiscalização sobre os serviços, diretamente por fiscal designado;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15.2. O Instituto Federal Sul-rio-grandense designará um representante para acompanhar e fiscalizar a execução do Contrato, anotando em registro próprio todas as ocorrências relacionadas à execução e determinando o que for necessário à regularização das falhas ou defeitos deste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15.3. As decisões e providências que ultrapassem a competência do representante deverão ser solicitadas ao seu gestor, em tempo hábil para que sejam adotadas as medidas convenientes;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15.4. O Instituto Federal Sul-rio-grandense poderá rejeitar, em todo ou em parte, os serviços prestados, se em desacordo com o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15.5. Quaisquer exigências da fiscalização, inerentes ao objeto do Contrato, deverão ser atendidas prontamente pela Contratada, sem ônus para o Instituto Federal Sul-rio-grandense;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15.6. A fiscalização do Contratante terá livre acesso aos locais de trabalho da mão de obra da Contratada, para assegurar-se de que as tarefas sejam executadas na forma estabelecida;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15.7. 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 na forma dos arts. 67 e 73 da Lei nº 8.666, de 1993, e do art. 6º do Decreto nº 2.271, de 1997.</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15.8. O representante da Contratante deverá ter a experiência necessária para o acompanhamento e controle da execução dos serviços e do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15.9. A verificação da adequação da prestação do serviço deverá ser realizada com base nos critérios previstos neste Termo de Referência.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15.10. A execução dos contratos deverá ser acompanhada e fiscalizada por meio de instrumentos de controle, que compreendam a mensuração dos aspectos mencionados no art. 47 e no ANEXO V, item 2.6, i, ambos da IN nº 05/2017.</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15.11. A fiscalização técnica dos contratos avaliará constantemente a execução do objeto e utilizará o Instrumento de Medição de Resultado (IMR), conforme modelo previsto no Anexo V-B da  IN nº 05/2017, ou outro instrumento substituto para aferição da qualidade da prestação dos serviços, devendo haver o redimensionamento no pagamento com base nos indicadores estabelecidos, sempre que a CONTRATADA: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a) Não produzir os resultados, deixar de executar, ou não executar com a qualidade mínima exigida as atividades contratadas; ou</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b) deixar de utilizar materiais e recursos humanos exigidos para a execução do serviço, ou utilizá-los com qualidade ou quantidade inferior à demandada.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15.12. A utilização do IMR não impede a aplicação concomitante de outros mecanismos para a avaliação da prestação dos serviços.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15.13. Durante a execução do objeto, o fiscal técnico deverá monitorar constantemente o nível de qualidade dos serviços para evitar a sua degeneração, devendo intervir para requerer à CONTRATADA a correção das faltas, falhas e irregularidades constatadas.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15.14. O fiscal técnico deverá apresentar ao preposto da CONTRATADA a avaliação da execução do objeto ou, se for o caso, a avaliação de desempenho e qualidade da prestação dos serviços realizada.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15.15. E m hipótese alguma, será admitido que a própria CONTRATADA materialize a avaliação de desempenho e qualidade da prestação dos serviços realizada.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15.16. 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15.17.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15.18. O fiscal técnico poderá realizar avaliação diária, semanal ou mensal, desde que o período escolhido seja suficiente para aferir o desempenho e qualidade da prestação dos serviços.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15.19. O fiscal técnico,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 65 da Lei nº 8.666, de 1993.</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15.20. A conformidade do material a ser utilizado na execução dos serviços deverá ser verificada juntamente com o documento da CONTRATADA que contenha sua relação detalhada, de acordo com o estabelecido neste Projeto Básico e na proposta, informando as respectivas quantidades e especificações técnicas, tais como: marca, qualidade e forma de uso.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15.21. O representante da Contratante deverá promover o registro das ocorrências verificadas, adotando as providências necessárias ao fiel cumprimento das cláusulas contratuais, conforme o disposto nos §§ 1º e 2º do art. 67 da Lei nº 8.666, de 1993.</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15.22. O descumprimento total ou parcial das demais obrigações e responsabilidades assumidas pela Contratada ensejará a aplicação de sanções administrativas, previstas neste Projeto Básico e na legislação vigente, podendo culminar em rescisão contratual, conforme disposto nos artigos 77 e 80 da Lei nº 8.666, de 1993.</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15.23.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16. DAS SANÇÕES ADMINISTRATIVAS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16.1. Comete infração administrativa nos termos da Lei nº 10.520, de 2002, a CONTRATADA que: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16.1.1. inexecutar total ou parcialmente qualquer das obrigações assumidas em decorrência da contratação;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16.1.2. ensejar o retardamento da execução do objeto;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16.1.3. falhar ou fraudar na execução do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16.1.4. comportar-se de modo inidôneo; 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16.1.5. cometer fraude fiscal.</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 Pela inexecução total ou parcial do objeto deste contrato, a Administração pode aplicar à CONTRATADA as seguintes sanções:</w:t>
      </w:r>
    </w:p>
    <w:p>
      <w:pPr>
        <w:pStyle w:val="Corpodetexto"/>
        <w:jc w:val="both"/>
        <w:rPr/>
      </w:pPr>
      <w:r>
        <w:rPr>
          <w:rFonts w:ascii="Arial" w:hAnsi="Arial"/>
          <w:b w:val="false"/>
          <w:bCs w:val="false"/>
          <w:i w:val="false"/>
          <w:iCs w:val="false"/>
          <w:sz w:val="20"/>
          <w:szCs w:val="20"/>
        </w:rPr>
        <w:t xml:space="preserve">16.2.1. </w:t>
      </w:r>
      <w:r>
        <w:rPr>
          <w:rStyle w:val="Nfaseforte"/>
          <w:rFonts w:ascii="Arial" w:hAnsi="Arial"/>
          <w:b w:val="false"/>
          <w:bCs w:val="false"/>
          <w:i w:val="false"/>
          <w:iCs w:val="false"/>
          <w:sz w:val="20"/>
          <w:szCs w:val="20"/>
        </w:rPr>
        <w:t>Advertência por escrito</w:t>
      </w:r>
      <w:r>
        <w:rPr>
          <w:rFonts w:ascii="Arial" w:hAnsi="Arial"/>
          <w:b w:val="false"/>
          <w:bCs w:val="false"/>
          <w:i w:val="false"/>
          <w:iCs w:val="false"/>
          <w:sz w:val="20"/>
          <w:szCs w:val="20"/>
        </w:rPr>
        <w:t>, quando do não cumprimento de quaisquer das obrigações contratuais consideradas faltas leves, assim entendidas aquelas que não acarretam prejuízos significativos para o serviço contratado;</w:t>
      </w:r>
    </w:p>
    <w:p>
      <w:pPr>
        <w:pStyle w:val="Corpodetexto"/>
        <w:jc w:val="both"/>
        <w:rPr/>
      </w:pPr>
      <w:r>
        <w:rPr>
          <w:rFonts w:ascii="Arial" w:hAnsi="Arial"/>
          <w:b w:val="false"/>
          <w:bCs w:val="false"/>
          <w:i w:val="false"/>
          <w:iCs w:val="false"/>
          <w:sz w:val="20"/>
          <w:szCs w:val="20"/>
        </w:rPr>
        <w:t xml:space="preserve">16.2.2. </w:t>
      </w:r>
      <w:r>
        <w:rPr>
          <w:rStyle w:val="Nfaseforte"/>
          <w:rFonts w:ascii="Arial" w:hAnsi="Arial"/>
          <w:b w:val="false"/>
          <w:bCs w:val="false"/>
          <w:i w:val="false"/>
          <w:iCs w:val="false"/>
          <w:sz w:val="20"/>
          <w:szCs w:val="20"/>
        </w:rPr>
        <w:t>Multa de</w:t>
      </w:r>
      <w:r>
        <w:rPr>
          <w:rFonts w:ascii="Arial" w:hAnsi="Arial"/>
          <w:b w:val="false"/>
          <w:bCs w:val="false"/>
          <w:i w:val="false"/>
          <w:iCs w:val="false"/>
          <w:sz w:val="20"/>
          <w:szCs w:val="20"/>
        </w:rPr>
        <w:t>:</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16.2.2.1. 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16.2.2.2. 01% (um décimo por cento) até 10% (dez por cento) sobre o valor adjudicado, em caso de atraso na execução do objeto, por período superior ao previsto no subitem acima ou de inexecução parcial da obrigação assumida;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16.2.2.3. 0,1% (um décimo por cento) até 15% (quinze por cento) sobre o valor adjudicado, em caso de inexecução total da obrigação assumida;</w:t>
      </w:r>
    </w:p>
    <w:p>
      <w:pPr>
        <w:pStyle w:val="Corpodetexto"/>
        <w:jc w:val="both"/>
        <w:rPr/>
      </w:pPr>
      <w:r>
        <w:rPr>
          <w:rFonts w:ascii="Arial" w:hAnsi="Arial"/>
          <w:b w:val="false"/>
          <w:bCs w:val="false"/>
          <w:i w:val="false"/>
          <w:iCs w:val="false"/>
          <w:sz w:val="20"/>
          <w:szCs w:val="20"/>
        </w:rPr>
        <w:t xml:space="preserve">16.2.2.4. 0,2% a 3,2% por dia sobre o valor do contrato, conforme detalhamento constante das </w:t>
      </w:r>
      <w:r>
        <w:rPr>
          <w:rStyle w:val="Nfaseforte"/>
          <w:rFonts w:ascii="Arial" w:hAnsi="Arial"/>
          <w:b w:val="false"/>
          <w:bCs w:val="false"/>
          <w:i w:val="false"/>
          <w:iCs w:val="false"/>
          <w:sz w:val="20"/>
          <w:szCs w:val="20"/>
        </w:rPr>
        <w:t>tabelas 1 e 2</w:t>
      </w:r>
      <w:r>
        <w:rPr>
          <w:rFonts w:ascii="Arial" w:hAnsi="Arial"/>
          <w:b w:val="false"/>
          <w:bCs w:val="false"/>
          <w:i w:val="false"/>
          <w:iCs w:val="false"/>
          <w:sz w:val="20"/>
          <w:szCs w:val="20"/>
        </w:rPr>
        <w:t xml:space="preserve"> abaixo; 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16.2.2.5. 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16.2.2.6. As penalidades de multa decorrentes de fatos diversos serão consideradas independentes entre si.</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16.2.3. Suspensão de licitar e impedimento de contratar com o órgão, entidade ou unidade administrativa pela qual a Administração Pública opera e atua concretamente, pelo prazo de até dois anos;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16.2.4. Sanção de impedimento de licitar e contratar com órgãos e entidades da União, com o consequente descredenciamento no SICAF pelo prazo de até cinco anos;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16.2.5.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16.3. As sanções previstas nos subitens 18.2.1, 18.2.3, 18.2.4 e 18.2.5 poderão ser aplicadas à CONTRATADA juntamente com as de multa, descontando-a dos pagamentos a serem efetuados.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16.4. Para efeito de aplicação de multas, às infrações são atribuídos graus, de acordo com as tabelas 1 e 2:</w:t>
      </w:r>
    </w:p>
    <w:p>
      <w:pPr>
        <w:pStyle w:val="Corpodetexto"/>
        <w:jc w:val="both"/>
        <w:rPr/>
      </w:pPr>
      <w:r>
        <w:rPr>
          <w:rStyle w:val="Nfaseforte"/>
          <w:rFonts w:ascii="Arial" w:hAnsi="Arial"/>
          <w:b w:val="false"/>
          <w:bCs w:val="false"/>
          <w:i w:val="false"/>
          <w:iCs w:val="false"/>
          <w:sz w:val="20"/>
          <w:szCs w:val="20"/>
        </w:rPr>
        <w:t>Tabela 1</w:t>
      </w:r>
    </w:p>
    <w:tbl>
      <w:tblPr>
        <w:tblW w:w="4546" w:type="dxa"/>
        <w:jc w:val="center"/>
        <w:tblInd w:w="0" w:type="dxa"/>
        <w:tblBorders>
          <w:top w:val="double" w:sz="2" w:space="0" w:color="808080"/>
          <w:left w:val="double" w:sz="2" w:space="0" w:color="808080"/>
          <w:bottom w:val="double" w:sz="2" w:space="0" w:color="808080"/>
          <w:insideH w:val="double" w:sz="2" w:space="0" w:color="808080"/>
        </w:tblBorders>
        <w:tblCellMar>
          <w:top w:w="28" w:type="dxa"/>
          <w:left w:w="-7" w:type="dxa"/>
          <w:bottom w:w="28" w:type="dxa"/>
          <w:right w:w="28" w:type="dxa"/>
        </w:tblCellMar>
      </w:tblPr>
      <w:tblGrid>
        <w:gridCol w:w="821"/>
        <w:gridCol w:w="3724"/>
      </w:tblGrid>
      <w:tr>
        <w:trPr/>
        <w:tc>
          <w:tcPr>
            <w:tcW w:w="821" w:type="dxa"/>
            <w:tcBorders>
              <w:top w:val="double" w:sz="2" w:space="0" w:color="808080"/>
              <w:left w:val="double" w:sz="2" w:space="0" w:color="808080"/>
              <w:bottom w:val="double" w:sz="2" w:space="0" w:color="808080"/>
              <w:insideH w:val="double" w:sz="2" w:space="0" w:color="808080"/>
            </w:tcBorders>
            <w:shd w:fill="auto" w:val="clear"/>
            <w:tcMar>
              <w:left w:w="-7" w:type="dxa"/>
            </w:tcMar>
            <w:vAlign w:val="center"/>
          </w:tcPr>
          <w:p>
            <w:pPr>
              <w:pStyle w:val="Corpodetexto"/>
              <w:spacing w:before="0" w:after="120"/>
              <w:jc w:val="center"/>
              <w:rPr/>
            </w:pPr>
            <w:r>
              <w:rPr>
                <w:rStyle w:val="Nfaseforte"/>
                <w:rFonts w:ascii="Arial" w:hAnsi="Arial"/>
                <w:b w:val="false"/>
                <w:bCs w:val="false"/>
                <w:i w:val="false"/>
                <w:iCs w:val="false"/>
                <w:sz w:val="20"/>
                <w:szCs w:val="20"/>
              </w:rPr>
              <w:t>GRAU</w:t>
            </w:r>
          </w:p>
        </w:tc>
        <w:tc>
          <w:tcPr>
            <w:tcW w:w="3724"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pPr>
            <w:r>
              <w:rPr>
                <w:rStyle w:val="Nfaseforte"/>
                <w:rFonts w:ascii="Arial" w:hAnsi="Arial"/>
                <w:b w:val="false"/>
                <w:bCs w:val="false"/>
                <w:i w:val="false"/>
                <w:iCs w:val="false"/>
                <w:sz w:val="20"/>
                <w:szCs w:val="20"/>
              </w:rPr>
              <w:t>CORRESPONDÊNCIA</w:t>
            </w:r>
          </w:p>
        </w:tc>
      </w:tr>
      <w:tr>
        <w:trPr/>
        <w:tc>
          <w:tcPr>
            <w:tcW w:w="821" w:type="dxa"/>
            <w:tcBorders>
              <w:top w:val="double" w:sz="2" w:space="0" w:color="808080"/>
              <w:left w:val="double" w:sz="2" w:space="0" w:color="808080"/>
              <w:bottom w:val="double" w:sz="2" w:space="0" w:color="808080"/>
              <w:insideH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w:t>
            </w:r>
          </w:p>
        </w:tc>
        <w:tc>
          <w:tcPr>
            <w:tcW w:w="3724"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0,2% ao dia sobre o valor do contrato</w:t>
            </w:r>
          </w:p>
        </w:tc>
      </w:tr>
      <w:tr>
        <w:trPr/>
        <w:tc>
          <w:tcPr>
            <w:tcW w:w="821" w:type="dxa"/>
            <w:tcBorders>
              <w:top w:val="double" w:sz="2" w:space="0" w:color="808080"/>
              <w:left w:val="double" w:sz="2" w:space="0" w:color="808080"/>
              <w:bottom w:val="double" w:sz="2" w:space="0" w:color="808080"/>
              <w:insideH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w:t>
            </w:r>
          </w:p>
        </w:tc>
        <w:tc>
          <w:tcPr>
            <w:tcW w:w="3724"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0,4% ao dia sobre o valor do contrato</w:t>
            </w:r>
          </w:p>
        </w:tc>
      </w:tr>
      <w:tr>
        <w:trPr/>
        <w:tc>
          <w:tcPr>
            <w:tcW w:w="821" w:type="dxa"/>
            <w:tcBorders>
              <w:top w:val="double" w:sz="2" w:space="0" w:color="808080"/>
              <w:left w:val="double" w:sz="2" w:space="0" w:color="808080"/>
              <w:bottom w:val="double" w:sz="2" w:space="0" w:color="808080"/>
              <w:insideH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3</w:t>
            </w:r>
          </w:p>
        </w:tc>
        <w:tc>
          <w:tcPr>
            <w:tcW w:w="3724"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0,8% ao dia sobre o valor do contrato</w:t>
            </w:r>
          </w:p>
        </w:tc>
      </w:tr>
      <w:tr>
        <w:trPr/>
        <w:tc>
          <w:tcPr>
            <w:tcW w:w="821" w:type="dxa"/>
            <w:tcBorders>
              <w:top w:val="double" w:sz="2" w:space="0" w:color="808080"/>
              <w:left w:val="double" w:sz="2" w:space="0" w:color="808080"/>
              <w:bottom w:val="double" w:sz="2" w:space="0" w:color="808080"/>
              <w:insideH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w:t>
            </w:r>
          </w:p>
        </w:tc>
        <w:tc>
          <w:tcPr>
            <w:tcW w:w="3724"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 ao dia sobre o valor do contrato</w:t>
            </w:r>
          </w:p>
        </w:tc>
      </w:tr>
      <w:tr>
        <w:trPr/>
        <w:tc>
          <w:tcPr>
            <w:tcW w:w="821" w:type="dxa"/>
            <w:tcBorders>
              <w:top w:val="double" w:sz="2" w:space="0" w:color="808080"/>
              <w:left w:val="double" w:sz="2" w:space="0" w:color="808080"/>
              <w:bottom w:val="double" w:sz="2" w:space="0" w:color="808080"/>
              <w:insideH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5</w:t>
            </w:r>
          </w:p>
        </w:tc>
        <w:tc>
          <w:tcPr>
            <w:tcW w:w="3724"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3,2% ao dia sobre o valor do contrato</w:t>
            </w:r>
          </w:p>
        </w:tc>
      </w:tr>
    </w:tbl>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pPr>
      <w:r>
        <w:rPr>
          <w:rStyle w:val="Nfaseforte"/>
          <w:rFonts w:ascii="Arial" w:hAnsi="Arial"/>
          <w:b w:val="false"/>
          <w:bCs w:val="false"/>
          <w:i w:val="false"/>
          <w:iCs w:val="false"/>
          <w:sz w:val="20"/>
          <w:szCs w:val="20"/>
        </w:rPr>
        <w:t>Tabela 2</w:t>
      </w:r>
    </w:p>
    <w:tbl>
      <w:tblPr>
        <w:tblW w:w="9638" w:type="dxa"/>
        <w:jc w:val="center"/>
        <w:tblInd w:w="0" w:type="dxa"/>
        <w:tblBorders>
          <w:top w:val="double" w:sz="2" w:space="0" w:color="808080"/>
          <w:left w:val="double" w:sz="2" w:space="0" w:color="808080"/>
          <w:bottom w:val="double" w:sz="2" w:space="0" w:color="808080"/>
          <w:right w:val="double" w:sz="2" w:space="0" w:color="808080"/>
          <w:insideH w:val="double" w:sz="2" w:space="0" w:color="808080"/>
          <w:insideV w:val="double" w:sz="2" w:space="0" w:color="808080"/>
        </w:tblBorders>
        <w:tblCellMar>
          <w:top w:w="28" w:type="dxa"/>
          <w:left w:w="-7" w:type="dxa"/>
          <w:bottom w:w="28" w:type="dxa"/>
          <w:right w:w="28" w:type="dxa"/>
        </w:tblCellMar>
      </w:tblPr>
      <w:tblGrid>
        <w:gridCol w:w="763"/>
        <w:gridCol w:w="8023"/>
        <w:gridCol w:w="852"/>
      </w:tblGrid>
      <w:tr>
        <w:trPr/>
        <w:tc>
          <w:tcPr>
            <w:tcW w:w="9638" w:type="dxa"/>
            <w:gridSpan w:val="3"/>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pPr>
            <w:r>
              <w:rPr>
                <w:rStyle w:val="Nfaseforte"/>
                <w:rFonts w:ascii="Arial" w:hAnsi="Arial"/>
                <w:b w:val="false"/>
                <w:bCs w:val="false"/>
                <w:i w:val="false"/>
                <w:iCs w:val="false"/>
                <w:sz w:val="20"/>
                <w:szCs w:val="20"/>
              </w:rPr>
              <w:t>INFRAÇÃO</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pPr>
            <w:r>
              <w:rPr>
                <w:rStyle w:val="Nfaseforte"/>
                <w:rFonts w:ascii="Arial" w:hAnsi="Arial"/>
                <w:b w:val="false"/>
                <w:bCs w:val="false"/>
                <w:i w:val="false"/>
                <w:iCs w:val="false"/>
                <w:sz w:val="20"/>
                <w:szCs w:val="20"/>
              </w:rPr>
              <w:t>ITEM</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pPr>
            <w:r>
              <w:rPr>
                <w:rStyle w:val="Nfaseforte"/>
                <w:rFonts w:ascii="Arial" w:hAnsi="Arial"/>
                <w:b w:val="false"/>
                <w:bCs w:val="false"/>
                <w:i w:val="false"/>
                <w:iCs w:val="false"/>
                <w:sz w:val="20"/>
                <w:szCs w:val="20"/>
              </w:rPr>
              <w:t>DESCRIÇÃO</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pPr>
            <w:r>
              <w:rPr>
                <w:rStyle w:val="Nfaseforte"/>
                <w:rFonts w:ascii="Arial" w:hAnsi="Arial"/>
                <w:b w:val="false"/>
                <w:bCs w:val="false"/>
                <w:i w:val="false"/>
                <w:iCs w:val="false"/>
                <w:sz w:val="20"/>
                <w:szCs w:val="20"/>
              </w:rPr>
              <w:t>GRAU</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Permitir situação que crie a possibilidade de causar dano físico, lesão corporal ou conseqüências letais, por ocorrência;</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05</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2</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Suspender ou interromper, salvo motivo de força maior ou caso fortuito, os serviços contratuais por dia e por unidade de atendimento;</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04</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3</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Manter funcionário sem qualificação para executar os serviços contratados, por empregado e por dia;</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03</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4</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Recusar-se a executar serviço determinado pela fiscalização, por serviço e por dia;</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02</w:t>
            </w:r>
          </w:p>
        </w:tc>
      </w:tr>
      <w:tr>
        <w:trPr/>
        <w:tc>
          <w:tcPr>
            <w:tcW w:w="9638" w:type="dxa"/>
            <w:gridSpan w:val="3"/>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pPr>
            <w:r>
              <w:rPr>
                <w:rStyle w:val="Nfaseforte"/>
                <w:rFonts w:ascii="Arial" w:hAnsi="Arial"/>
                <w:b w:val="false"/>
                <w:bCs w:val="false"/>
                <w:i w:val="false"/>
                <w:iCs w:val="false"/>
                <w:sz w:val="20"/>
                <w:szCs w:val="20"/>
              </w:rPr>
              <w:t>Para os itens a seguir, deixar de:</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5</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Cumprir determinação formal ou instrução complementar do órgão fiscalizador, por ocorrência;</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02</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6</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Substituir empregado alocado que não atenda às necessidades do serviço, por funcionário e por dia;</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01</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7</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Cumprir quaisquer dos itens do Edital e seus Anexos não previstos nesta tabela de multas, após reincidência formalmente notificada pelo órgão fiscalizador, por item e por ocorrência;</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03</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8</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Indicar e manter durante a execução do contrato os prepostos previstos no edital/contrato;</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01</w:t>
            </w:r>
          </w:p>
        </w:tc>
      </w:tr>
      <w:tr>
        <w:trPr/>
        <w:tc>
          <w:tcPr>
            <w:tcW w:w="76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9</w:t>
            </w:r>
          </w:p>
        </w:tc>
        <w:tc>
          <w:tcPr>
            <w:tcW w:w="8023"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Providenciar treinamento para seus funcionários conforme previsto na relação de obrigações da CONTRATADA</w:t>
            </w:r>
          </w:p>
        </w:tc>
        <w:tc>
          <w:tcPr>
            <w:tcW w:w="85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tcMar>
              <w:left w:w="-7" w:type="dxa"/>
            </w:tcMar>
            <w:vAlign w:val="cente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01</w:t>
            </w:r>
          </w:p>
        </w:tc>
      </w:tr>
    </w:tbl>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16.5. Também ficam sujeitas às penalidades do art. 87, III e IV da Lei nº 8.666, de 1993, as empresas ou profissionais que: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16.5.1. tenham sofrido condenação definitiva por praticar, por meio dolosos, fraude fiscal no recolhimento de quaisquer tributos;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16.5.2. tenham praticado atos ilícitos visando a frustrar os objetivos da licitação;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16.5.3. demonstrem não possuir idoneidade para contratar com a Administração em virtude de atos ilícitos praticados.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16.6. 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16.7. A autoridade competente, na aplicação das sanções, levará em consideração a gravidade da conduta do infrator, o caráter educativo da pena, bem como o dano causado à Administração, observado o princípio da proporcionalidade.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16.8. As penalidades serão obrigatoriamente registradas no SICAF.</w:t>
      </w:r>
    </w:p>
    <w:p>
      <w:pPr>
        <w:pStyle w:val="Corpodetexto"/>
        <w:jc w:val="both"/>
        <w:rPr>
          <w:rFonts w:ascii="Arial" w:hAnsi="Arial"/>
          <w:b/>
          <w:b/>
          <w:bCs/>
          <w:i w:val="false"/>
          <w:i w:val="false"/>
          <w:iCs w:val="false"/>
          <w:sz w:val="20"/>
          <w:szCs w:val="20"/>
        </w:rPr>
      </w:pPr>
      <w:r>
        <w:rPr>
          <w:rFonts w:ascii="Arial" w:hAnsi="Arial"/>
          <w:b/>
          <w:bCs/>
          <w:i w:val="false"/>
          <w:iCs w:val="false"/>
          <w:sz w:val="20"/>
          <w:szCs w:val="20"/>
        </w:rPr>
        <w:t>17. DISPOSIÇÕES FINAIS</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17.1. No valor da proposta deverão estar incluídos, o custo da mão de obra, contribuições sociais, impostos, taxas e outras despesas que incidirem sobre a prestação dos serviços, não se admitindo cobrança de qualquer item não previsto neste Termo de Referência.</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17.2. Os empregados da CONTRATADA não terão nenhum vínculo empregatício com o CONTRATANTE.</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t>17.3 As decisões e/ou providências que ultrapassarem a competência do fiscal dos serviços deverão ser solicitadas à Administração, em tempo hábil, para a adoção das medidas convenientes e necessárias ao caso.</w:t>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Normal"/>
        <w:jc w:val="right"/>
        <w:rPr/>
      </w:pPr>
      <w:r>
        <w:rPr>
          <w:rFonts w:cs="Arial" w:ascii="Arial" w:hAnsi="Arial"/>
          <w:sz w:val="20"/>
          <w:szCs w:val="20"/>
        </w:rPr>
        <w:t>Camaquã, 29 de Julho de 2019.</w:t>
      </w:r>
    </w:p>
    <w:p>
      <w:pPr>
        <w:pStyle w:val="Normal"/>
        <w:jc w:val="center"/>
        <w:rPr>
          <w:rFonts w:ascii="Arial" w:hAnsi="Arial" w:cs="Arial"/>
          <w:sz w:val="20"/>
          <w:szCs w:val="20"/>
          <w:shd w:fill="FFFF00" w:val="clear"/>
        </w:rPr>
      </w:pPr>
      <w:r>
        <w:rPr>
          <w:rFonts w:cs="Arial" w:ascii="Arial" w:hAnsi="Arial"/>
          <w:sz w:val="20"/>
          <w:szCs w:val="20"/>
          <w:shd w:fill="FFFF00" w:val="clear"/>
        </w:rPr>
      </w:r>
    </w:p>
    <w:p>
      <w:pPr>
        <w:pStyle w:val="Normal"/>
        <w:jc w:val="center"/>
        <w:rPr>
          <w:rFonts w:ascii="Arial" w:hAnsi="Arial" w:cs="Arial"/>
          <w:sz w:val="20"/>
          <w:szCs w:val="20"/>
          <w:shd w:fill="FFFF00" w:val="clear"/>
        </w:rPr>
      </w:pPr>
      <w:r>
        <w:rPr>
          <w:rFonts w:cs="Arial" w:ascii="Arial" w:hAnsi="Arial"/>
          <w:sz w:val="20"/>
          <w:szCs w:val="20"/>
          <w:shd w:fill="FFFF00" w:val="clear"/>
        </w:rPr>
      </w:r>
    </w:p>
    <w:p>
      <w:pPr>
        <w:pStyle w:val="Normal"/>
        <w:jc w:val="center"/>
        <w:rPr>
          <w:rFonts w:ascii="Arial" w:hAnsi="Arial" w:cs="Arial"/>
          <w:sz w:val="20"/>
          <w:szCs w:val="20"/>
          <w:shd w:fill="FFFF00" w:val="clear"/>
        </w:rPr>
      </w:pPr>
      <w:r>
        <w:rPr>
          <w:rFonts w:cs="Arial" w:ascii="Arial" w:hAnsi="Arial"/>
          <w:sz w:val="20"/>
          <w:szCs w:val="20"/>
          <w:shd w:fill="FFFF00" w:val="clear"/>
        </w:rPr>
      </w:r>
    </w:p>
    <w:p>
      <w:pPr>
        <w:pStyle w:val="Normal"/>
        <w:jc w:val="center"/>
        <w:rPr>
          <w:rFonts w:ascii="Arial" w:hAnsi="Arial"/>
          <w:sz w:val="20"/>
          <w:szCs w:val="20"/>
        </w:rPr>
      </w:pPr>
      <w:r>
        <w:rPr>
          <w:rFonts w:ascii="Arial" w:hAnsi="Arial"/>
          <w:sz w:val="20"/>
          <w:szCs w:val="20"/>
        </w:rPr>
        <w:t>___________________________________</w:t>
      </w:r>
    </w:p>
    <w:p>
      <w:pPr>
        <w:pStyle w:val="Western"/>
        <w:spacing w:before="0" w:after="0"/>
        <w:jc w:val="center"/>
        <w:rPr>
          <w:rFonts w:ascii="Arial" w:hAnsi="Arial" w:cs="Arial"/>
          <w:sz w:val="20"/>
          <w:szCs w:val="20"/>
        </w:rPr>
      </w:pPr>
      <w:r>
        <w:rPr>
          <w:rFonts w:cs="Arial" w:ascii="Arial" w:hAnsi="Arial"/>
          <w:sz w:val="20"/>
          <w:szCs w:val="20"/>
        </w:rPr>
        <w:t>Átila Paiva</w:t>
      </w:r>
    </w:p>
    <w:p>
      <w:pPr>
        <w:pStyle w:val="Western"/>
        <w:spacing w:before="0" w:after="0"/>
        <w:jc w:val="center"/>
        <w:rPr>
          <w:rFonts w:ascii="Arial" w:hAnsi="Arial" w:cs="Arial"/>
          <w:sz w:val="20"/>
          <w:szCs w:val="20"/>
        </w:rPr>
      </w:pPr>
      <w:r>
        <w:rPr>
          <w:rFonts w:cs="Arial" w:ascii="Arial" w:hAnsi="Arial"/>
          <w:sz w:val="20"/>
          <w:szCs w:val="20"/>
        </w:rPr>
        <w:t>Coordenadoria de Manutenção Geral</w:t>
      </w:r>
    </w:p>
    <w:p>
      <w:pPr>
        <w:pStyle w:val="Western"/>
        <w:spacing w:before="0" w:after="0"/>
        <w:jc w:val="center"/>
        <w:rPr>
          <w:rFonts w:ascii="Arial" w:hAnsi="Arial" w:cs="Arial"/>
          <w:sz w:val="20"/>
          <w:szCs w:val="20"/>
        </w:rPr>
      </w:pPr>
      <w:r>
        <w:rPr>
          <w:rFonts w:cs="Arial" w:ascii="Arial" w:hAnsi="Arial"/>
          <w:sz w:val="20"/>
          <w:szCs w:val="20"/>
        </w:rPr>
        <w:t xml:space="preserve">IFSul - </w:t>
      </w:r>
      <w:r>
        <w:rPr>
          <w:rFonts w:cs="Arial" w:ascii="Arial" w:hAnsi="Arial"/>
          <w:i/>
          <w:iCs/>
          <w:sz w:val="20"/>
          <w:szCs w:val="20"/>
        </w:rPr>
        <w:t>Campus</w:t>
      </w:r>
      <w:r>
        <w:rPr>
          <w:rFonts w:cs="Arial" w:ascii="Arial" w:hAnsi="Arial"/>
          <w:sz w:val="20"/>
          <w:szCs w:val="20"/>
        </w:rPr>
        <w:t xml:space="preserve"> Camaquã</w:t>
      </w:r>
    </w:p>
    <w:p>
      <w:pPr>
        <w:pStyle w:val="Normal"/>
        <w:jc w:val="center"/>
        <w:rPr>
          <w:rFonts w:ascii="Arial" w:hAnsi="Arial" w:cs="Arial"/>
          <w:sz w:val="20"/>
          <w:szCs w:val="20"/>
          <w:shd w:fill="FFFF00" w:val="clear"/>
        </w:rPr>
      </w:pPr>
      <w:r>
        <w:rPr>
          <w:rFonts w:cs="Arial" w:ascii="Arial" w:hAnsi="Arial"/>
          <w:sz w:val="20"/>
          <w:szCs w:val="20"/>
          <w:shd w:fill="FFFF00" w:val="clear"/>
        </w:rPr>
      </w:r>
    </w:p>
    <w:p>
      <w:pPr>
        <w:pStyle w:val="Normal"/>
        <w:jc w:val="center"/>
        <w:rPr>
          <w:rFonts w:ascii="Arial" w:hAnsi="Arial" w:cs="Arial"/>
          <w:sz w:val="20"/>
          <w:szCs w:val="20"/>
          <w:shd w:fill="FFFF00" w:val="clear"/>
        </w:rPr>
      </w:pPr>
      <w:r>
        <w:rPr>
          <w:rFonts w:cs="Arial" w:ascii="Arial" w:hAnsi="Arial"/>
          <w:sz w:val="20"/>
          <w:szCs w:val="20"/>
          <w:shd w:fill="FFFF00" w:val="clear"/>
        </w:rPr>
      </w:r>
    </w:p>
    <w:p>
      <w:pPr>
        <w:pStyle w:val="Normal"/>
        <w:jc w:val="center"/>
        <w:rPr>
          <w:rFonts w:ascii="Arial" w:hAnsi="Arial" w:cs="Arial"/>
          <w:sz w:val="20"/>
          <w:szCs w:val="20"/>
          <w:shd w:fill="FFFF00" w:val="clear"/>
        </w:rPr>
      </w:pPr>
      <w:r>
        <w:rPr>
          <w:rFonts w:cs="Arial" w:ascii="Arial" w:hAnsi="Arial"/>
          <w:sz w:val="20"/>
          <w:szCs w:val="20"/>
          <w:shd w:fill="FFFF00" w:val="clear"/>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b/>
          <w:b/>
          <w:bCs/>
          <w:i w:val="false"/>
          <w:i w:val="false"/>
          <w:iCs w:val="false"/>
          <w:color w:val="000000"/>
          <w:sz w:val="20"/>
          <w:szCs w:val="20"/>
        </w:rPr>
      </w:pPr>
      <w:r>
        <w:rPr>
          <w:rFonts w:cs="Arial" w:ascii="Arial" w:hAnsi="Arial"/>
          <w:b/>
          <w:bCs/>
          <w:i w:val="false"/>
          <w:iCs w:val="false"/>
          <w:color w:val="000000"/>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Default"/>
        <w:jc w:val="center"/>
        <w:rPr/>
      </w:pPr>
      <w:r>
        <w:rPr>
          <w:rFonts w:cs="Arial" w:ascii="Arial" w:hAnsi="Arial"/>
          <w:b/>
          <w:bCs/>
          <w:sz w:val="20"/>
          <w:szCs w:val="20"/>
        </w:rPr>
        <w:t>ANEXO II</w:t>
      </w:r>
    </w:p>
    <w:p>
      <w:pPr>
        <w:pStyle w:val="Default"/>
        <w:jc w:val="center"/>
        <w:rPr>
          <w:rFonts w:ascii="Arial" w:hAnsi="Arial" w:cs="Arial"/>
          <w:b/>
          <w:b/>
          <w:bCs/>
          <w:sz w:val="20"/>
          <w:szCs w:val="20"/>
        </w:rPr>
      </w:pPr>
      <w:r>
        <w:rPr>
          <w:rFonts w:cs="Arial" w:ascii="Arial" w:hAnsi="Arial"/>
          <w:b/>
          <w:bCs/>
          <w:sz w:val="20"/>
          <w:szCs w:val="20"/>
        </w:rPr>
        <w:t>PLANILHA DE PROPOSTA COMERCIAL</w:t>
      </w:r>
    </w:p>
    <w:p>
      <w:pPr>
        <w:pStyle w:val="Default"/>
        <w:jc w:val="center"/>
        <w:rPr>
          <w:rFonts w:ascii="Arial" w:hAnsi="Arial" w:cs="Arial"/>
          <w:b/>
          <w:b/>
          <w:bCs/>
          <w:sz w:val="20"/>
          <w:szCs w:val="20"/>
        </w:rPr>
      </w:pPr>
      <w:r>
        <w:rPr>
          <w:rFonts w:cs="Arial" w:ascii="Arial" w:hAnsi="Arial"/>
          <w:b/>
          <w:bCs/>
          <w:sz w:val="20"/>
          <w:szCs w:val="20"/>
        </w:rPr>
        <w:t>CONVITE Nº 01/2019</w:t>
      </w:r>
    </w:p>
    <w:p>
      <w:pPr>
        <w:pStyle w:val="Default"/>
        <w:jc w:val="center"/>
        <w:rPr/>
      </w:pPr>
      <w:r>
        <w:rPr>
          <w:rFonts w:cs="Arial" w:ascii="Arial" w:hAnsi="Arial"/>
          <w:b/>
          <w:bCs/>
          <w:sz w:val="20"/>
          <w:szCs w:val="20"/>
        </w:rPr>
        <w:t>PROCESSO N.º 23339.000363.2019-47</w:t>
      </w:r>
    </w:p>
    <w:p>
      <w:pPr>
        <w:pStyle w:val="Normal"/>
        <w:ind w:left="0" w:right="0" w:firstLine="750"/>
        <w:rPr>
          <w:rFonts w:ascii="Arial" w:hAnsi="Arial" w:cs="Arial"/>
        </w:rPr>
      </w:pPr>
      <w:r>
        <w:rPr>
          <w:rFonts w:cs="Arial" w:ascii="Arial" w:hAnsi="Arial"/>
        </w:rPr>
      </w:r>
    </w:p>
    <w:p>
      <w:pPr>
        <w:pStyle w:val="Corpodetexto"/>
        <w:jc w:val="both"/>
        <w:rPr/>
      </w:pPr>
      <w:r>
        <w:rPr>
          <w:rFonts w:ascii="Arial" w:hAnsi="Arial"/>
          <w:b/>
          <w:bCs/>
          <w:i w:val="false"/>
          <w:iCs w:val="false"/>
          <w:sz w:val="20"/>
          <w:szCs w:val="20"/>
        </w:rPr>
        <w:t>OBJETO</w:t>
      </w:r>
    </w:p>
    <w:p>
      <w:pPr>
        <w:pStyle w:val="Corpodetexto"/>
        <w:jc w:val="both"/>
        <w:rPr>
          <w:rFonts w:ascii="Arial" w:hAnsi="Arial" w:cs="Arial"/>
        </w:rPr>
      </w:pPr>
      <w:r>
        <w:rPr>
          <w:rFonts w:cs="Arial" w:ascii="Arial" w:hAnsi="Arial"/>
          <w:b w:val="false"/>
          <w:bCs w:val="false"/>
          <w:i w:val="false"/>
          <w:iCs w:val="false"/>
          <w:sz w:val="20"/>
          <w:szCs w:val="20"/>
        </w:rPr>
        <w:t xml:space="preserve">Contratação de empresa especializada para a prestação de serviços continuados de manutenção preventiva e corretiva, incluindo mão de obra e peças de reposição, nos veículos oficiais, onde se inclui serviços classificados como leves, tais como: mecânica em geral, sistema elétrico/eletrônico, sistema de refrigeração, ar-condicionado, direção hidráulica, serviços de tapeçaria, vidraçaria, estofamento, balanceamento e alinhamento de rodas, cambagem, cáster, troca de óleo e filtros, troca de extintores, alinhamento de direção, lubrificação e instalação de acessórios, substituição e conserto de pneus, e outros serviços considerados necessários para manter em perfeito funcionamento os veículos oficiais pertencentes à frota do </w:t>
      </w:r>
      <w:r>
        <w:rPr>
          <w:rFonts w:cs="Arial" w:ascii="Arial" w:hAnsi="Arial"/>
          <w:b w:val="false"/>
          <w:bCs w:val="false"/>
          <w:i/>
          <w:iCs/>
          <w:sz w:val="20"/>
          <w:szCs w:val="20"/>
        </w:rPr>
        <w:t>campus</w:t>
      </w:r>
      <w:r>
        <w:rPr>
          <w:rFonts w:cs="Arial" w:ascii="Arial" w:hAnsi="Arial"/>
          <w:b w:val="false"/>
          <w:bCs w:val="false"/>
          <w:i w:val="false"/>
          <w:iCs w:val="false"/>
          <w:sz w:val="20"/>
          <w:szCs w:val="20"/>
        </w:rPr>
        <w:t xml:space="preserve"> Camaquã, do Instituto Federal Sul-rio-grandense, a serem prestados no município de Camaquã/RS, pelo período de 12 (doze) meses, admitindo-se a possibilidade de prorrogação, podendo ser prorrogado por iguais e sucessivos períodos, ate o limite máximo de 60 (sessenta) meses.</w:t>
      </w:r>
    </w:p>
    <w:p>
      <w:pPr>
        <w:pStyle w:val="PargrafodaLista"/>
        <w:widowControl w:val="false"/>
        <w:ind w:left="142" w:right="0" w:hanging="0"/>
        <w:jc w:val="both"/>
        <w:textAlignment w:val="baseline"/>
        <w:rPr/>
      </w:pPr>
      <w:r>
        <w:rPr>
          <w:rFonts w:eastAsia="Arial"/>
          <w:b/>
        </w:rPr>
        <w:t xml:space="preserve"> </w:t>
      </w:r>
    </w:p>
    <w:tbl>
      <w:tblPr>
        <w:tblW w:w="8955" w:type="dxa"/>
        <w:jc w:val="left"/>
        <w:tblInd w:w="95" w:type="dxa"/>
        <w:tblBorders>
          <w:top w:val="single" w:sz="4" w:space="0" w:color="000001"/>
          <w:left w:val="single" w:sz="4" w:space="0" w:color="000001"/>
          <w:bottom w:val="single" w:sz="4" w:space="0" w:color="000001"/>
          <w:insideH w:val="single" w:sz="4" w:space="0" w:color="000001"/>
        </w:tblBorders>
        <w:tblCellMar>
          <w:top w:w="0" w:type="dxa"/>
          <w:left w:w="-5" w:type="dxa"/>
          <w:bottom w:w="0" w:type="dxa"/>
          <w:right w:w="10" w:type="dxa"/>
        </w:tblCellMar>
      </w:tblPr>
      <w:tblGrid>
        <w:gridCol w:w="1516"/>
        <w:gridCol w:w="588"/>
        <w:gridCol w:w="2377"/>
        <w:gridCol w:w="986"/>
        <w:gridCol w:w="1083"/>
        <w:gridCol w:w="1130"/>
        <w:gridCol w:w="1"/>
        <w:gridCol w:w="1273"/>
      </w:tblGrid>
      <w:tr>
        <w:trPr/>
        <w:tc>
          <w:tcPr>
            <w:tcW w:w="151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rPr>
            </w:r>
          </w:p>
        </w:tc>
        <w:tc>
          <w:tcPr>
            <w:tcW w:w="588"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Item</w:t>
            </w:r>
          </w:p>
        </w:tc>
        <w:tc>
          <w:tcPr>
            <w:tcW w:w="2377"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Descrição</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Unidade de medida</w:t>
            </w:r>
          </w:p>
        </w:tc>
        <w:tc>
          <w:tcPr>
            <w:tcW w:w="1083"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Quantidade</w:t>
            </w:r>
          </w:p>
        </w:tc>
        <w:tc>
          <w:tcPr>
            <w:tcW w:w="1131"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Valor Unitário máximo aceitável</w:t>
            </w:r>
          </w:p>
        </w:tc>
        <w:tc>
          <w:tcPr>
            <w:tcW w:w="12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Valor Total</w:t>
            </w:r>
          </w:p>
        </w:tc>
      </w:tr>
      <w:tr>
        <w:trPr/>
        <w:tc>
          <w:tcPr>
            <w:tcW w:w="1516" w:type="dxa"/>
            <w:vMerge w:val="restart"/>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rPr>
              <w:t>Grupo I</w:t>
            </w:r>
          </w:p>
        </w:tc>
        <w:tc>
          <w:tcPr>
            <w:tcW w:w="588"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1</w:t>
            </w:r>
          </w:p>
        </w:tc>
        <w:tc>
          <w:tcPr>
            <w:tcW w:w="2377"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both"/>
              <w:rPr>
                <w:rFonts w:ascii="Arial" w:hAnsi="Arial"/>
              </w:rPr>
            </w:pPr>
            <w:r>
              <w:rPr>
                <w:rFonts w:ascii="Arial" w:hAnsi="Arial"/>
                <w:b w:val="false"/>
                <w:bCs w:val="false"/>
                <w:i w:val="false"/>
                <w:iCs w:val="false"/>
                <w:sz w:val="20"/>
                <w:szCs w:val="20"/>
              </w:rPr>
              <w:t xml:space="preserve">Prestação de serviços continuados de manutenção preventiva e corretiva nos veículos oficiais leves pertencentes à frota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Hora /Serviço Mecânico</w:t>
            </w:r>
          </w:p>
        </w:tc>
        <w:tc>
          <w:tcPr>
            <w:tcW w:w="1083"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76</w:t>
            </w:r>
          </w:p>
        </w:tc>
        <w:tc>
          <w:tcPr>
            <w:tcW w:w="1131"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 xml:space="preserve">R$ </w:t>
            </w:r>
          </w:p>
        </w:tc>
        <w:tc>
          <w:tcPr>
            <w:tcW w:w="12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 xml:space="preserve">R$ </w:t>
            </w:r>
          </w:p>
        </w:tc>
      </w:tr>
      <w:tr>
        <w:trPr/>
        <w:tc>
          <w:tcPr>
            <w:tcW w:w="1516" w:type="dxa"/>
            <w:vMerge w:val="continue"/>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rPr>
            </w:r>
          </w:p>
        </w:tc>
        <w:tc>
          <w:tcPr>
            <w:tcW w:w="588"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2</w:t>
            </w:r>
          </w:p>
        </w:tc>
        <w:tc>
          <w:tcPr>
            <w:tcW w:w="2377"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both"/>
              <w:rPr>
                <w:rFonts w:ascii="Arial" w:hAnsi="Arial"/>
              </w:rPr>
            </w:pPr>
            <w:r>
              <w:rPr>
                <w:rFonts w:ascii="Arial" w:hAnsi="Arial"/>
                <w:b w:val="false"/>
                <w:bCs w:val="false"/>
                <w:i w:val="false"/>
                <w:iCs w:val="false"/>
                <w:sz w:val="20"/>
                <w:szCs w:val="20"/>
              </w:rPr>
              <w:t>Peças de reposição veículos leves.</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unidade</w:t>
            </w:r>
          </w:p>
        </w:tc>
        <w:tc>
          <w:tcPr>
            <w:tcW w:w="1083"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55</w:t>
            </w:r>
          </w:p>
        </w:tc>
        <w:tc>
          <w:tcPr>
            <w:tcW w:w="1131"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R$ 133,88</w:t>
            </w:r>
          </w:p>
        </w:tc>
        <w:tc>
          <w:tcPr>
            <w:tcW w:w="12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R$ 7.363,40</w:t>
            </w:r>
          </w:p>
        </w:tc>
      </w:tr>
      <w:tr>
        <w:trPr/>
        <w:tc>
          <w:tcPr>
            <w:tcW w:w="1516" w:type="dxa"/>
            <w:vMerge w:val="restart"/>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rPr>
            </w:r>
          </w:p>
          <w:p>
            <w:pPr>
              <w:pStyle w:val="Corpodetexto"/>
              <w:spacing w:before="0" w:after="120"/>
              <w:jc w:val="center"/>
              <w:rPr>
                <w:rFonts w:ascii="Arial" w:hAnsi="Arial"/>
              </w:rPr>
            </w:pPr>
            <w:r>
              <w:rPr>
                <w:rFonts w:ascii="Arial" w:hAnsi="Arial"/>
              </w:rPr>
              <w:t>Grupo II</w:t>
            </w:r>
          </w:p>
        </w:tc>
        <w:tc>
          <w:tcPr>
            <w:tcW w:w="588"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3</w:t>
            </w:r>
          </w:p>
        </w:tc>
        <w:tc>
          <w:tcPr>
            <w:tcW w:w="2377"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both"/>
              <w:rPr>
                <w:rFonts w:ascii="Arial" w:hAnsi="Arial"/>
              </w:rPr>
            </w:pPr>
            <w:r>
              <w:rPr>
                <w:rFonts w:ascii="Arial" w:hAnsi="Arial"/>
                <w:b w:val="false"/>
                <w:bCs w:val="false"/>
                <w:i w:val="false"/>
                <w:iCs w:val="false"/>
                <w:sz w:val="20"/>
                <w:szCs w:val="20"/>
              </w:rPr>
              <w:t xml:space="preserve">Prestação de serviços continuados de manutenção preventiva e corretiva nos veículos oficiais a diesel pertencentes à frota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Hora /Serviço Mecânico</w:t>
            </w:r>
          </w:p>
        </w:tc>
        <w:tc>
          <w:tcPr>
            <w:tcW w:w="1083"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66</w:t>
            </w:r>
          </w:p>
        </w:tc>
        <w:tc>
          <w:tcPr>
            <w:tcW w:w="1131"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 xml:space="preserve">R$ </w:t>
            </w:r>
          </w:p>
        </w:tc>
        <w:tc>
          <w:tcPr>
            <w:tcW w:w="12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 xml:space="preserve">R$ </w:t>
            </w:r>
          </w:p>
        </w:tc>
      </w:tr>
      <w:tr>
        <w:trPr/>
        <w:tc>
          <w:tcPr>
            <w:tcW w:w="1516" w:type="dxa"/>
            <w:vMerge w:val="continue"/>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rPr>
            </w:r>
          </w:p>
        </w:tc>
        <w:tc>
          <w:tcPr>
            <w:tcW w:w="588"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4</w:t>
            </w:r>
          </w:p>
        </w:tc>
        <w:tc>
          <w:tcPr>
            <w:tcW w:w="2377"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both"/>
              <w:rPr>
                <w:rFonts w:ascii="Arial" w:hAnsi="Arial"/>
              </w:rPr>
            </w:pPr>
            <w:r>
              <w:rPr>
                <w:rFonts w:ascii="Arial" w:hAnsi="Arial"/>
                <w:b w:val="false"/>
                <w:bCs w:val="false"/>
                <w:i w:val="false"/>
                <w:iCs w:val="false"/>
                <w:sz w:val="20"/>
                <w:szCs w:val="20"/>
              </w:rPr>
              <w:t>Peças de reposição veículos a diesel.</w:t>
            </w:r>
          </w:p>
        </w:tc>
        <w:tc>
          <w:tcPr>
            <w:tcW w:w="98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unidade</w:t>
            </w:r>
          </w:p>
        </w:tc>
        <w:tc>
          <w:tcPr>
            <w:tcW w:w="1083"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65</w:t>
            </w:r>
          </w:p>
        </w:tc>
        <w:tc>
          <w:tcPr>
            <w:tcW w:w="1131"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R$ 170,38</w:t>
            </w:r>
          </w:p>
        </w:tc>
        <w:tc>
          <w:tcPr>
            <w:tcW w:w="12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R$11.074,70</w:t>
            </w:r>
          </w:p>
        </w:tc>
      </w:tr>
      <w:tr>
        <w:trPr/>
        <w:tc>
          <w:tcPr>
            <w:tcW w:w="1516" w:type="dxa"/>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rPr>
            </w:r>
          </w:p>
        </w:tc>
        <w:tc>
          <w:tcPr>
            <w:tcW w:w="6164" w:type="dxa"/>
            <w:gridSpan w:val="5"/>
            <w:tcBorders>
              <w:top w:val="single" w:sz="4" w:space="0" w:color="000001"/>
              <w:left w:val="single" w:sz="4" w:space="0" w:color="000001"/>
              <w:bottom w:val="single" w:sz="4" w:space="0" w:color="000001"/>
              <w:insideH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 xml:space="preserve">Valor Global R$    </w:t>
            </w:r>
          </w:p>
        </w:tc>
        <w:tc>
          <w:tcPr>
            <w:tcW w:w="12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vAlign w:val="center"/>
          </w:tcPr>
          <w:p>
            <w:pPr>
              <w:pStyle w:val="Corpodetexto"/>
              <w:spacing w:before="0" w:after="120"/>
              <w:jc w:val="center"/>
              <w:rPr>
                <w:rFonts w:ascii="Arial" w:hAnsi="Arial"/>
              </w:rPr>
            </w:pPr>
            <w:r>
              <w:rPr>
                <w:rFonts w:ascii="Arial" w:hAnsi="Arial"/>
                <w:b w:val="false"/>
                <w:bCs w:val="false"/>
                <w:i w:val="false"/>
                <w:iCs w:val="false"/>
                <w:sz w:val="20"/>
                <w:szCs w:val="20"/>
              </w:rPr>
              <w:t xml:space="preserve">R$ </w:t>
            </w:r>
          </w:p>
        </w:tc>
      </w:tr>
    </w:tbl>
    <w:p>
      <w:pPr>
        <w:pStyle w:val="PargrafodaLista"/>
        <w:widowControl w:val="false"/>
        <w:ind w:left="142" w:right="0" w:hanging="0"/>
        <w:jc w:val="both"/>
        <w:textAlignment w:val="baseline"/>
        <w:rPr/>
      </w:pPr>
      <w:r>
        <w:rPr>
          <w:rFonts w:cs="Arial"/>
        </w:rPr>
        <w:tab/>
      </w:r>
    </w:p>
    <w:p>
      <w:pPr>
        <w:pStyle w:val="PargrafodaLista"/>
        <w:widowControl w:val="false"/>
        <w:ind w:left="142" w:right="0" w:hanging="0"/>
        <w:jc w:val="both"/>
        <w:textAlignment w:val="baseline"/>
        <w:rPr>
          <w:rFonts w:ascii="Arial" w:hAnsi="Arial" w:cs="Arial"/>
          <w:b/>
          <w:b/>
          <w:color w:val="000000"/>
          <w:sz w:val="22"/>
          <w:szCs w:val="22"/>
        </w:rPr>
      </w:pPr>
      <w:r>
        <w:rPr>
          <w:rFonts w:cs="Arial"/>
          <w:b/>
          <w:color w:val="000000"/>
          <w:sz w:val="22"/>
          <w:szCs w:val="22"/>
        </w:rPr>
      </w:r>
    </w:p>
    <w:p>
      <w:pPr>
        <w:pStyle w:val="PargrafodaLista"/>
        <w:widowControl w:val="false"/>
        <w:ind w:left="142" w:right="0" w:hanging="0"/>
        <w:jc w:val="both"/>
        <w:textAlignment w:val="baseline"/>
        <w:rPr>
          <w:rFonts w:ascii="Arial" w:hAnsi="Arial" w:cs="Arial"/>
          <w:b/>
          <w:b/>
          <w:color w:val="000000"/>
          <w:sz w:val="22"/>
          <w:szCs w:val="22"/>
        </w:rPr>
      </w:pPr>
      <w:r>
        <w:rPr>
          <w:rFonts w:cs="Arial"/>
          <w:b/>
          <w:color w:val="000000"/>
          <w:sz w:val="22"/>
          <w:szCs w:val="22"/>
        </w:rPr>
      </w:r>
    </w:p>
    <w:p>
      <w:pPr>
        <w:pStyle w:val="PargrafodaLista"/>
        <w:widowControl w:val="false"/>
        <w:ind w:left="142" w:right="0" w:hanging="0"/>
        <w:jc w:val="both"/>
        <w:textAlignment w:val="baseline"/>
        <w:rPr>
          <w:rFonts w:ascii="Arial" w:hAnsi="Arial" w:cs="Arial"/>
          <w:b/>
          <w:b/>
          <w:color w:val="000000"/>
          <w:sz w:val="22"/>
          <w:szCs w:val="22"/>
        </w:rPr>
      </w:pPr>
      <w:r>
        <w:rPr>
          <w:rFonts w:cs="Arial"/>
          <w:b/>
          <w:color w:val="000000"/>
          <w:sz w:val="22"/>
          <w:szCs w:val="22"/>
        </w:rPr>
      </w:r>
    </w:p>
    <w:p>
      <w:pPr>
        <w:pStyle w:val="Standard"/>
        <w:jc w:val="both"/>
        <w:rPr>
          <w:sz w:val="20"/>
          <w:szCs w:val="20"/>
        </w:rPr>
      </w:pPr>
      <w:r>
        <w:rPr>
          <w:rFonts w:cs="Arial" w:ascii="Arial" w:hAnsi="Arial"/>
          <w:b/>
          <w:bCs/>
          <w:sz w:val="20"/>
          <w:szCs w:val="20"/>
        </w:rPr>
        <w:t>Prazo de validade do orçamento:</w:t>
      </w:r>
      <w:r>
        <w:rPr>
          <w:rFonts w:cs="Arial" w:ascii="Arial" w:hAnsi="Arial"/>
          <w:sz w:val="20"/>
          <w:szCs w:val="20"/>
        </w:rPr>
        <w:t xml:space="preserve"> no mínimo de 60 (sessenta) dias a contar da data de entrega deste.</w:t>
      </w:r>
    </w:p>
    <w:p>
      <w:pPr>
        <w:pStyle w:val="Standard"/>
        <w:jc w:val="both"/>
        <w:rPr>
          <w:sz w:val="20"/>
          <w:szCs w:val="20"/>
        </w:rPr>
      </w:pPr>
      <w:r>
        <w:rPr>
          <w:rFonts w:cs="Arial" w:ascii="Arial" w:hAnsi="Arial"/>
          <w:b/>
          <w:sz w:val="20"/>
          <w:szCs w:val="20"/>
        </w:rPr>
        <w:t xml:space="preserve">Prazo de início da execução do serviço: </w:t>
      </w:r>
      <w:r>
        <w:rPr>
          <w:rFonts w:cs="Arial" w:ascii="Arial" w:hAnsi="Arial"/>
          <w:sz w:val="20"/>
          <w:szCs w:val="20"/>
        </w:rPr>
        <w:t>no máximo de 21 (vinte e um) dias a contar da data do recebimento da Nota de Empenho.</w:t>
      </w:r>
    </w:p>
    <w:p>
      <w:pPr>
        <w:pStyle w:val="Standard"/>
        <w:jc w:val="both"/>
        <w:rPr>
          <w:sz w:val="20"/>
          <w:szCs w:val="20"/>
        </w:rPr>
      </w:pPr>
      <w:r>
        <w:rPr>
          <w:rFonts w:cs="Arial" w:ascii="Arial" w:hAnsi="Arial"/>
          <w:b/>
          <w:bCs/>
          <w:sz w:val="20"/>
          <w:szCs w:val="20"/>
        </w:rPr>
        <w:t>Declaração:</w:t>
      </w:r>
      <w:r>
        <w:rPr>
          <w:rFonts w:cs="Arial" w:ascii="Arial" w:hAnsi="Arial"/>
          <w:sz w:val="20"/>
          <w:szCs w:val="20"/>
        </w:rPr>
        <w:t xml:space="preserve"> nos preços cotados estão incluídas todas as despesas tais como frete (CIF), impostos, taxas, seguros, tributos e demais encargos de qualquer natureza incidentes sobre o objeto da licitação.</w:t>
      </w:r>
    </w:p>
    <w:p>
      <w:pPr>
        <w:pStyle w:val="Normal"/>
        <w:jc w:val="right"/>
        <w:rPr>
          <w:rFonts w:ascii="Arial" w:hAnsi="Arial" w:cs="Arial"/>
          <w:sz w:val="20"/>
          <w:szCs w:val="20"/>
        </w:rPr>
      </w:pPr>
      <w:r>
        <w:rPr>
          <w:rFonts w:cs="Arial" w:ascii="Arial" w:hAnsi="Arial"/>
          <w:sz w:val="20"/>
          <w:szCs w:val="20"/>
        </w:rPr>
      </w:r>
    </w:p>
    <w:p>
      <w:pPr>
        <w:pStyle w:val="Normal"/>
        <w:jc w:val="right"/>
        <w:rPr>
          <w:rFonts w:ascii="Arial" w:hAnsi="Arial" w:cs="Arial"/>
          <w:sz w:val="20"/>
          <w:szCs w:val="20"/>
        </w:rPr>
      </w:pPr>
      <w:r>
        <w:rPr>
          <w:rFonts w:cs="Arial" w:ascii="Arial" w:hAnsi="Arial"/>
          <w:sz w:val="20"/>
          <w:szCs w:val="20"/>
        </w:rPr>
      </w:r>
    </w:p>
    <w:p>
      <w:pPr>
        <w:pStyle w:val="Normal"/>
        <w:jc w:val="right"/>
        <w:rPr>
          <w:rFonts w:ascii="Arial" w:hAnsi="Arial" w:cs="Arial"/>
          <w:sz w:val="20"/>
          <w:szCs w:val="20"/>
        </w:rPr>
      </w:pPr>
      <w:r>
        <w:rPr>
          <w:rFonts w:cs="Arial" w:ascii="Arial" w:hAnsi="Arial"/>
          <w:sz w:val="20"/>
          <w:szCs w:val="20"/>
        </w:rPr>
      </w:r>
    </w:p>
    <w:p>
      <w:pPr>
        <w:pStyle w:val="Normal"/>
        <w:jc w:val="right"/>
        <w:rPr>
          <w:rFonts w:ascii="Arial" w:hAnsi="Arial" w:cs="Arial"/>
          <w:sz w:val="20"/>
          <w:szCs w:val="20"/>
        </w:rPr>
      </w:pPr>
      <w:r>
        <w:rPr>
          <w:rFonts w:cs="Arial" w:ascii="Arial" w:hAnsi="Arial"/>
          <w:sz w:val="20"/>
          <w:szCs w:val="20"/>
        </w:rPr>
      </w:r>
    </w:p>
    <w:p>
      <w:pPr>
        <w:pStyle w:val="Normal"/>
        <w:jc w:val="right"/>
        <w:rPr>
          <w:rFonts w:ascii="Arial" w:hAnsi="Arial" w:cs="Arial"/>
          <w:sz w:val="20"/>
          <w:szCs w:val="20"/>
        </w:rPr>
      </w:pPr>
      <w:r>
        <w:rPr>
          <w:rFonts w:cs="Arial" w:ascii="Arial" w:hAnsi="Arial"/>
          <w:sz w:val="20"/>
          <w:szCs w:val="20"/>
        </w:rPr>
      </w:r>
    </w:p>
    <w:p>
      <w:pPr>
        <w:pStyle w:val="Normal"/>
        <w:jc w:val="right"/>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t>____________, ___ de __________ de 2019.</w:t>
      </w:r>
    </w:p>
    <w:p>
      <w:pPr>
        <w:pStyle w:val="Normal"/>
        <w:jc w:val="right"/>
        <w:rPr>
          <w:rFonts w:ascii="Arial" w:hAnsi="Arial" w:cs="Arial"/>
          <w:sz w:val="20"/>
          <w:szCs w:val="20"/>
        </w:rPr>
      </w:pPr>
      <w:r>
        <w:rPr>
          <w:rFonts w:cs="Arial" w:ascii="Arial" w:hAnsi="Arial"/>
          <w:sz w:val="20"/>
          <w:szCs w:val="20"/>
        </w:rPr>
      </w:r>
    </w:p>
    <w:p>
      <w:pPr>
        <w:pStyle w:val="Normal"/>
        <w:rPr>
          <w:rFonts w:ascii="Arial" w:hAnsi="Arial" w:eastAsia="Arial" w:cs="Arial"/>
          <w:sz w:val="20"/>
          <w:szCs w:val="20"/>
        </w:rPr>
      </w:pPr>
      <w:r>
        <w:rPr>
          <w:rFonts w:eastAsia="Arial" w:cs="Arial" w:ascii="Arial" w:hAnsi="Arial"/>
          <w:sz w:val="20"/>
          <w:szCs w:val="20"/>
        </w:rPr>
      </w:r>
    </w:p>
    <w:p>
      <w:pPr>
        <w:pStyle w:val="Normal"/>
        <w:rPr>
          <w:rFonts w:ascii="Arial" w:hAnsi="Arial" w:eastAsia="Arial" w:cs="Arial"/>
          <w:sz w:val="20"/>
          <w:szCs w:val="20"/>
        </w:rPr>
      </w:pPr>
      <w:r>
        <w:rPr>
          <w:rFonts w:eastAsia="Arial" w:cs="Arial" w:ascii="Arial" w:hAnsi="Arial"/>
          <w:sz w:val="20"/>
          <w:szCs w:val="20"/>
        </w:rPr>
      </w:r>
    </w:p>
    <w:p>
      <w:pPr>
        <w:pStyle w:val="Normal"/>
        <w:rPr>
          <w:rFonts w:ascii="Arial" w:hAnsi="Arial" w:eastAsia="Arial" w:cs="Arial"/>
          <w:sz w:val="20"/>
          <w:szCs w:val="20"/>
        </w:rPr>
      </w:pPr>
      <w:r>
        <w:rPr>
          <w:rFonts w:eastAsia="Arial" w:cs="Arial" w:ascii="Arial" w:hAnsi="Arial"/>
          <w:sz w:val="20"/>
          <w:szCs w:val="20"/>
        </w:rPr>
      </w:r>
    </w:p>
    <w:p>
      <w:pPr>
        <w:pStyle w:val="Normal"/>
        <w:spacing w:lineRule="atLeast" w:line="100"/>
        <w:jc w:val="center"/>
        <w:rPr>
          <w:rFonts w:ascii="Arial" w:hAnsi="Arial" w:cs="Arial"/>
          <w:sz w:val="20"/>
          <w:szCs w:val="20"/>
        </w:rPr>
      </w:pPr>
      <w:r>
        <w:rPr>
          <w:rFonts w:cs="Arial" w:ascii="Arial" w:hAnsi="Arial"/>
          <w:sz w:val="20"/>
          <w:szCs w:val="20"/>
        </w:rPr>
        <w:t>____________________________________</w:t>
      </w:r>
    </w:p>
    <w:p>
      <w:pPr>
        <w:pStyle w:val="Normal"/>
        <w:spacing w:lineRule="atLeast" w:line="100"/>
        <w:jc w:val="center"/>
        <w:rPr>
          <w:rFonts w:ascii="Arial" w:hAnsi="Arial" w:cs="Arial"/>
          <w:sz w:val="20"/>
          <w:szCs w:val="20"/>
        </w:rPr>
      </w:pPr>
      <w:r>
        <w:rPr>
          <w:rFonts w:cs="Arial" w:ascii="Arial" w:hAnsi="Arial"/>
          <w:sz w:val="20"/>
          <w:szCs w:val="20"/>
        </w:rPr>
        <w:t>Carimbo com CNPJ da empresa e assinatura</w:t>
      </w:r>
    </w:p>
    <w:p>
      <w:pPr>
        <w:pStyle w:val="Normal"/>
        <w:jc w:val="center"/>
        <w:rPr>
          <w:rFonts w:ascii="Arial" w:hAnsi="Arial" w:cs="Arial"/>
          <w:sz w:val="20"/>
          <w:szCs w:val="20"/>
        </w:rPr>
      </w:pPr>
      <w:r>
        <w:rPr>
          <w:rFonts w:cs="Arial" w:ascii="Arial" w:hAnsi="Arial"/>
          <w:sz w:val="20"/>
          <w:szCs w:val="20"/>
        </w:rPr>
        <w:t>CPF:</w:t>
      </w:r>
    </w:p>
    <w:p>
      <w:pPr>
        <w:pStyle w:val="Normal"/>
        <w:jc w:val="center"/>
        <w:rPr>
          <w:rFonts w:ascii="Arial" w:hAnsi="Arial" w:cs="Arial"/>
          <w:sz w:val="20"/>
          <w:szCs w:val="20"/>
        </w:rPr>
      </w:pPr>
      <w:r>
        <w:rPr>
          <w:rFonts w:cs="Arial" w:ascii="Arial" w:hAnsi="Arial"/>
          <w:sz w:val="20"/>
          <w:szCs w:val="20"/>
        </w:rPr>
        <w:t>RG:</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2"/>
          <w:szCs w:val="22"/>
        </w:rPr>
      </w:pPr>
      <w:r>
        <w:rPr>
          <w:rFonts w:cs="Arial" w:ascii="Arial" w:hAnsi="Arial"/>
          <w:b/>
          <w:bCs/>
          <w:sz w:val="22"/>
          <w:szCs w:val="22"/>
        </w:rPr>
      </w:r>
    </w:p>
    <w:p>
      <w:pPr>
        <w:pStyle w:val="Normal"/>
        <w:numPr>
          <w:ilvl w:val="0"/>
          <w:numId w:val="0"/>
        </w:numPr>
        <w:spacing w:lineRule="auto" w:line="360" w:before="240" w:after="120"/>
        <w:ind w:left="0" w:right="0" w:hanging="0"/>
        <w:jc w:val="center"/>
        <w:rPr>
          <w:rFonts w:ascii="Arial" w:hAnsi="Arial" w:cs="Times New Roman"/>
          <w:b/>
          <w:b/>
          <w:sz w:val="20"/>
          <w:szCs w:val="20"/>
        </w:rPr>
      </w:pPr>
      <w:r>
        <w:rPr>
          <w:rFonts w:cs="Times New Roman" w:ascii="Arial" w:hAnsi="Arial"/>
          <w:b/>
          <w:sz w:val="20"/>
          <w:szCs w:val="20"/>
        </w:rPr>
      </w:r>
    </w:p>
    <w:p>
      <w:pPr>
        <w:pStyle w:val="Normal"/>
        <w:numPr>
          <w:ilvl w:val="0"/>
          <w:numId w:val="0"/>
        </w:numPr>
        <w:spacing w:lineRule="auto" w:line="360" w:before="240" w:after="120"/>
        <w:ind w:left="0" w:right="0" w:hanging="0"/>
        <w:jc w:val="center"/>
        <w:rPr>
          <w:rFonts w:ascii="Arial" w:hAnsi="Arial" w:cs="Times New Roman"/>
          <w:b/>
          <w:b/>
          <w:sz w:val="20"/>
          <w:szCs w:val="20"/>
        </w:rPr>
      </w:pPr>
      <w:r>
        <w:rPr>
          <w:rFonts w:cs="Times New Roman" w:ascii="Arial" w:hAnsi="Arial"/>
          <w:b/>
          <w:sz w:val="20"/>
          <w:szCs w:val="20"/>
        </w:rPr>
      </w:r>
    </w:p>
    <w:p>
      <w:pPr>
        <w:pStyle w:val="Normal"/>
        <w:numPr>
          <w:ilvl w:val="0"/>
          <w:numId w:val="0"/>
        </w:numPr>
        <w:spacing w:lineRule="auto" w:line="360" w:before="240" w:after="120"/>
        <w:ind w:left="0" w:right="0" w:hanging="0"/>
        <w:jc w:val="center"/>
        <w:rPr>
          <w:rFonts w:ascii="Arial" w:hAnsi="Arial" w:cs="Times New Roman"/>
          <w:b/>
          <w:b/>
          <w:sz w:val="20"/>
          <w:szCs w:val="20"/>
        </w:rPr>
      </w:pPr>
      <w:r>
        <w:rPr>
          <w:rFonts w:cs="Times New Roman" w:ascii="Arial" w:hAnsi="Arial"/>
          <w:b/>
          <w:sz w:val="20"/>
          <w:szCs w:val="20"/>
        </w:rPr>
      </w:r>
    </w:p>
    <w:p>
      <w:pPr>
        <w:pStyle w:val="Normal"/>
        <w:numPr>
          <w:ilvl w:val="0"/>
          <w:numId w:val="0"/>
        </w:numPr>
        <w:spacing w:lineRule="auto" w:line="360" w:before="240" w:after="120"/>
        <w:ind w:left="0" w:right="0" w:hanging="0"/>
        <w:jc w:val="center"/>
        <w:rPr>
          <w:rFonts w:ascii="Arial" w:hAnsi="Arial" w:cs="Times New Roman"/>
          <w:b/>
          <w:b/>
          <w:sz w:val="20"/>
          <w:szCs w:val="20"/>
        </w:rPr>
      </w:pPr>
      <w:r>
        <w:rPr>
          <w:rFonts w:cs="Times New Roman" w:ascii="Arial" w:hAnsi="Arial"/>
          <w:b/>
          <w:sz w:val="20"/>
          <w:szCs w:val="20"/>
        </w:rPr>
      </w:r>
    </w:p>
    <w:p>
      <w:pPr>
        <w:pStyle w:val="Normal"/>
        <w:numPr>
          <w:ilvl w:val="0"/>
          <w:numId w:val="0"/>
        </w:numPr>
        <w:spacing w:lineRule="auto" w:line="360" w:before="240" w:after="120"/>
        <w:ind w:left="0" w:right="0" w:hanging="0"/>
        <w:jc w:val="center"/>
        <w:rPr>
          <w:rFonts w:ascii="Arial" w:hAnsi="Arial" w:cs="Times New Roman"/>
          <w:b/>
          <w:b/>
          <w:sz w:val="20"/>
          <w:szCs w:val="20"/>
        </w:rPr>
      </w:pPr>
      <w:r>
        <w:rPr>
          <w:rFonts w:cs="Times New Roman" w:ascii="Arial" w:hAnsi="Arial"/>
          <w:b/>
          <w:sz w:val="20"/>
          <w:szCs w:val="20"/>
        </w:rPr>
      </w:r>
    </w:p>
    <w:p>
      <w:pPr>
        <w:pStyle w:val="Normal"/>
        <w:numPr>
          <w:ilvl w:val="0"/>
          <w:numId w:val="0"/>
        </w:numPr>
        <w:spacing w:lineRule="auto" w:line="360" w:before="240" w:after="120"/>
        <w:ind w:left="0" w:right="0" w:hanging="0"/>
        <w:jc w:val="center"/>
        <w:rPr>
          <w:rFonts w:ascii="Arial" w:hAnsi="Arial" w:cs="Times New Roman"/>
          <w:b/>
          <w:b/>
          <w:sz w:val="20"/>
          <w:szCs w:val="20"/>
        </w:rPr>
      </w:pPr>
      <w:r>
        <w:rPr>
          <w:rFonts w:cs="Times New Roman" w:ascii="Arial" w:hAnsi="Arial"/>
          <w:b/>
          <w:sz w:val="20"/>
          <w:szCs w:val="20"/>
        </w:rPr>
      </w:r>
    </w:p>
    <w:p>
      <w:pPr>
        <w:pStyle w:val="Normal"/>
        <w:numPr>
          <w:ilvl w:val="0"/>
          <w:numId w:val="0"/>
        </w:numPr>
        <w:spacing w:lineRule="auto" w:line="360" w:before="240" w:after="120"/>
        <w:ind w:left="0" w:right="0" w:hanging="0"/>
        <w:jc w:val="center"/>
        <w:rPr>
          <w:rFonts w:ascii="Arial" w:hAnsi="Arial" w:cs="Times New Roman"/>
          <w:b/>
          <w:b/>
          <w:sz w:val="20"/>
          <w:szCs w:val="20"/>
        </w:rPr>
      </w:pPr>
      <w:r>
        <w:rPr>
          <w:rFonts w:cs="Times New Roman" w:ascii="Arial" w:hAnsi="Arial"/>
          <w:b/>
          <w:sz w:val="20"/>
          <w:szCs w:val="20"/>
        </w:rPr>
      </w:r>
    </w:p>
    <w:p>
      <w:pPr>
        <w:pStyle w:val="Normal"/>
        <w:numPr>
          <w:ilvl w:val="0"/>
          <w:numId w:val="0"/>
        </w:numPr>
        <w:spacing w:lineRule="auto" w:line="360" w:before="240" w:after="120"/>
        <w:ind w:left="0" w:right="0" w:hanging="0"/>
        <w:jc w:val="center"/>
        <w:rPr>
          <w:rFonts w:ascii="Arial" w:hAnsi="Arial" w:cs="Times New Roman"/>
          <w:b/>
          <w:b/>
          <w:sz w:val="20"/>
          <w:szCs w:val="20"/>
        </w:rPr>
      </w:pPr>
      <w:r>
        <w:rPr>
          <w:rFonts w:cs="Times New Roman" w:ascii="Arial" w:hAnsi="Arial"/>
          <w:b/>
          <w:sz w:val="20"/>
          <w:szCs w:val="20"/>
        </w:rPr>
      </w:r>
    </w:p>
    <w:p>
      <w:pPr>
        <w:pStyle w:val="Normal"/>
        <w:numPr>
          <w:ilvl w:val="0"/>
          <w:numId w:val="0"/>
        </w:numPr>
        <w:spacing w:lineRule="auto" w:line="360" w:before="240" w:after="120"/>
        <w:ind w:left="0" w:right="0" w:hanging="0"/>
        <w:jc w:val="center"/>
        <w:rPr/>
      </w:pPr>
      <w:r>
        <w:rPr>
          <w:rFonts w:cs="Times New Roman" w:ascii="Arial" w:hAnsi="Arial"/>
          <w:b/>
          <w:sz w:val="20"/>
          <w:szCs w:val="20"/>
        </w:rPr>
        <w:t>ANEXO III</w:t>
      </w:r>
    </w:p>
    <w:p>
      <w:pPr>
        <w:pStyle w:val="Normal"/>
        <w:ind w:left="0" w:right="0" w:hanging="0"/>
        <w:jc w:val="center"/>
        <w:rPr>
          <w:rFonts w:ascii="Arial" w:hAnsi="Arial"/>
          <w:sz w:val="20"/>
          <w:szCs w:val="20"/>
        </w:rPr>
      </w:pPr>
      <w:r>
        <w:rPr>
          <w:rFonts w:cs="Times New Roman" w:ascii="Arial" w:hAnsi="Arial"/>
          <w:b/>
          <w:sz w:val="20"/>
          <w:szCs w:val="20"/>
        </w:rPr>
        <w:t>TERMO DE CONTRATO Nº XX/2019</w:t>
      </w:r>
    </w:p>
    <w:p>
      <w:pPr>
        <w:pStyle w:val="Normal"/>
        <w:ind w:left="0" w:right="0" w:hanging="0"/>
        <w:jc w:val="center"/>
        <w:rPr>
          <w:rFonts w:ascii="Arial" w:hAnsi="Arial"/>
          <w:sz w:val="20"/>
          <w:szCs w:val="20"/>
        </w:rPr>
      </w:pPr>
      <w:r>
        <w:rPr>
          <w:rFonts w:cs="Times New Roman" w:ascii="Arial" w:hAnsi="Arial"/>
          <w:sz w:val="20"/>
          <w:szCs w:val="20"/>
        </w:rPr>
        <w:t xml:space="preserve">PRESTAÇÃO DE </w:t>
      </w:r>
      <w:r>
        <w:rPr>
          <w:rFonts w:cs="Times New Roman" w:ascii="Arial" w:hAnsi="Arial"/>
          <w:bCs/>
          <w:iCs/>
          <w:color w:val="000000"/>
          <w:sz w:val="20"/>
          <w:szCs w:val="20"/>
        </w:rPr>
        <w:t xml:space="preserve">SERVIÇO SEM DISPONIBILIZAÇÃO DE MÃO DE OBRA </w:t>
      </w:r>
    </w:p>
    <w:p>
      <w:pPr>
        <w:pStyle w:val="Normal"/>
        <w:spacing w:lineRule="auto" w:line="276" w:before="0" w:after="120"/>
        <w:ind w:left="0" w:right="0" w:hanging="0"/>
        <w:jc w:val="center"/>
        <w:rPr>
          <w:rFonts w:ascii="Arial" w:hAnsi="Arial" w:cs="Times New Roman"/>
          <w:bCs/>
          <w:iCs/>
          <w:sz w:val="20"/>
          <w:szCs w:val="20"/>
        </w:rPr>
      </w:pPr>
      <w:r>
        <w:rPr>
          <w:rFonts w:cs="Times New Roman" w:ascii="Arial" w:hAnsi="Arial"/>
          <w:bCs/>
          <w:iCs/>
          <w:sz w:val="20"/>
          <w:szCs w:val="20"/>
        </w:rPr>
      </w:r>
    </w:p>
    <w:p>
      <w:pPr>
        <w:pStyle w:val="Normal"/>
        <w:spacing w:lineRule="auto" w:line="360" w:before="0" w:after="120"/>
        <w:ind w:left="0" w:right="0" w:hanging="0"/>
        <w:jc w:val="center"/>
        <w:rPr>
          <w:rFonts w:ascii="Arial" w:hAnsi="Arial" w:cs="Times New Roman"/>
          <w:b/>
          <w:b/>
          <w:bCs/>
          <w:iCs/>
          <w:sz w:val="20"/>
          <w:szCs w:val="20"/>
        </w:rPr>
      </w:pPr>
      <w:r>
        <w:rPr>
          <w:rFonts w:cs="Times New Roman" w:ascii="Arial" w:hAnsi="Arial"/>
          <w:b/>
          <w:bCs/>
          <w:iCs/>
          <w:sz w:val="20"/>
          <w:szCs w:val="20"/>
        </w:rPr>
      </w:r>
    </w:p>
    <w:p>
      <w:pPr>
        <w:pStyle w:val="Normal"/>
        <w:spacing w:lineRule="auto" w:line="360" w:before="0" w:after="120"/>
        <w:ind w:left="0" w:right="0" w:hanging="0"/>
        <w:jc w:val="center"/>
        <w:rPr>
          <w:rFonts w:ascii="Arial" w:hAnsi="Arial" w:cs="Times New Roman"/>
          <w:b/>
          <w:b/>
          <w:bCs/>
          <w:iCs/>
          <w:sz w:val="20"/>
          <w:szCs w:val="20"/>
        </w:rPr>
      </w:pPr>
      <w:r>
        <w:rPr>
          <w:rFonts w:cs="Times New Roman" w:ascii="Arial" w:hAnsi="Arial"/>
          <w:b/>
          <w:bCs/>
          <w:iCs/>
          <w:sz w:val="20"/>
          <w:szCs w:val="20"/>
        </w:rPr>
      </w:r>
    </w:p>
    <w:p>
      <w:pPr>
        <w:pStyle w:val="Normal"/>
        <w:spacing w:lineRule="auto" w:line="360" w:before="0" w:after="120"/>
        <w:ind w:left="3969" w:right="0" w:hanging="0"/>
        <w:jc w:val="both"/>
        <w:rPr>
          <w:rFonts w:ascii="Arial" w:hAnsi="Arial"/>
          <w:sz w:val="20"/>
          <w:szCs w:val="20"/>
        </w:rPr>
      </w:pPr>
      <w:r>
        <w:rPr>
          <w:rFonts w:cs="Times New Roman" w:ascii="Arial" w:hAnsi="Arial"/>
          <w:b/>
          <w:sz w:val="20"/>
          <w:szCs w:val="20"/>
        </w:rPr>
        <w:t>TERMO DE CONTRATO DE PRESTAÇÃO DE SERVIÇOS</w:t>
      </w:r>
      <w:r>
        <w:rPr>
          <w:rFonts w:cs="Arial" w:ascii="Arial" w:hAnsi="Arial"/>
          <w:b/>
          <w:sz w:val="20"/>
          <w:szCs w:val="20"/>
        </w:rPr>
        <w:t xml:space="preserve"> Nº </w:t>
      </w:r>
      <w:r>
        <w:rPr>
          <w:rFonts w:cs="Arial" w:ascii="Arial" w:hAnsi="Arial"/>
          <w:b/>
          <w:bCs/>
          <w:color w:val="000000"/>
          <w:sz w:val="20"/>
          <w:szCs w:val="20"/>
        </w:rPr>
        <w:t xml:space="preserve">XXX/2019, </w:t>
      </w:r>
      <w:r>
        <w:rPr>
          <w:rFonts w:cs="Arial" w:ascii="Arial" w:hAnsi="Arial"/>
          <w:b/>
          <w:sz w:val="20"/>
          <w:szCs w:val="20"/>
        </w:rPr>
        <w:t xml:space="preserve">QUE FAZEM ENTRE SI A UNIÃO, POR INTERMÉDIO DO </w:t>
      </w:r>
      <w:r>
        <w:rPr>
          <w:rFonts w:cs="Arial" w:ascii="Arial" w:hAnsi="Arial"/>
          <w:b/>
          <w:color w:val="000000"/>
          <w:sz w:val="20"/>
          <w:szCs w:val="20"/>
        </w:rPr>
        <w:t>O INSTITUTO FEDERAL SUL-RIO-GRANDENSE</w:t>
      </w:r>
      <w:r>
        <w:rPr>
          <w:rFonts w:cs="Arial" w:ascii="Arial" w:hAnsi="Arial"/>
          <w:b/>
          <w:sz w:val="20"/>
          <w:szCs w:val="20"/>
        </w:rPr>
        <w:t xml:space="preserve"> E A EMPRESA </w:t>
      </w:r>
      <w:r>
        <w:rPr>
          <w:rFonts w:cs="Arial" w:ascii="Arial" w:hAnsi="Arial"/>
          <w:b/>
          <w:color w:val="000000"/>
          <w:sz w:val="20"/>
          <w:szCs w:val="20"/>
        </w:rPr>
        <w:t>XXXXXXXXXXXXXXXX.</w:t>
      </w:r>
    </w:p>
    <w:p>
      <w:pPr>
        <w:pStyle w:val="Normal"/>
        <w:spacing w:lineRule="auto" w:line="360" w:before="0" w:after="120"/>
        <w:ind w:left="0" w:right="0" w:hanging="0"/>
        <w:jc w:val="both"/>
        <w:rPr>
          <w:rFonts w:ascii="Arial" w:hAnsi="Arial" w:cs="Times New Roman"/>
          <w:b/>
          <w:b/>
          <w:color w:val="FF0000"/>
          <w:sz w:val="20"/>
          <w:szCs w:val="20"/>
        </w:rPr>
      </w:pPr>
      <w:r>
        <w:rPr>
          <w:rFonts w:cs="Times New Roman" w:ascii="Arial" w:hAnsi="Arial"/>
          <w:b/>
          <w:color w:val="FF0000"/>
          <w:sz w:val="20"/>
          <w:szCs w:val="20"/>
        </w:rPr>
      </w:r>
    </w:p>
    <w:p>
      <w:pPr>
        <w:pStyle w:val="Normal"/>
        <w:spacing w:lineRule="auto" w:line="276" w:before="120" w:after="120"/>
        <w:jc w:val="both"/>
        <w:rPr>
          <w:rFonts w:ascii="Arial" w:hAnsi="Arial"/>
          <w:sz w:val="20"/>
          <w:szCs w:val="20"/>
        </w:rPr>
      </w:pPr>
      <w:r>
        <w:rPr>
          <w:rFonts w:cs="Times New Roman" w:ascii="Arial" w:hAnsi="Arial"/>
          <w:color w:val="000000"/>
          <w:sz w:val="20"/>
          <w:szCs w:val="20"/>
        </w:rPr>
        <w:t xml:space="preserve">A União, </w:t>
      </w:r>
      <w:r>
        <w:rPr>
          <w:rFonts w:cs="Times New Roman" w:ascii="Arial" w:hAnsi="Arial"/>
          <w:sz w:val="20"/>
          <w:szCs w:val="20"/>
        </w:rPr>
        <w:t xml:space="preserve">por intermédio do </w:t>
      </w:r>
      <w:r>
        <w:rPr>
          <w:rFonts w:cs="Calibri" w:ascii="Arial" w:hAnsi="Arial"/>
          <w:color w:val="000000"/>
          <w:sz w:val="20"/>
          <w:szCs w:val="20"/>
          <w:highlight w:val="white"/>
        </w:rPr>
        <w:t>O INSTITUTO FEDERAL SUL-RIO-GRANDENSE Campus Camaquã</w:t>
      </w:r>
      <w:r>
        <w:rPr>
          <w:rFonts w:cs="Times New Roman" w:ascii="Arial" w:hAnsi="Arial"/>
          <w:sz w:val="20"/>
          <w:szCs w:val="20"/>
        </w:rPr>
        <w:t xml:space="preserve">, com sede na </w:t>
      </w:r>
      <w:r>
        <w:rPr>
          <w:rFonts w:cs="Calibri" w:ascii="Arial" w:hAnsi="Arial"/>
          <w:color w:val="000000"/>
          <w:sz w:val="20"/>
          <w:szCs w:val="20"/>
          <w:highlight w:val="white"/>
        </w:rPr>
        <w:t>Rua Ana</w:t>
      </w:r>
      <w:r>
        <w:rPr>
          <w:rFonts w:cs="Arial" w:ascii="Arial" w:hAnsi="Arial"/>
          <w:color w:val="000000"/>
          <w:sz w:val="20"/>
          <w:szCs w:val="20"/>
          <w:highlight w:val="white"/>
        </w:rPr>
        <w:t xml:space="preserve"> Gonçalves da Silva, 901, Bairro Olaria, CEP 96180-000</w:t>
      </w:r>
      <w:r>
        <w:rPr>
          <w:rFonts w:cs="Arial" w:ascii="Arial" w:hAnsi="Arial"/>
          <w:sz w:val="20"/>
          <w:szCs w:val="20"/>
        </w:rPr>
        <w:t xml:space="preserve">, na cidade de </w:t>
      </w:r>
      <w:r>
        <w:rPr>
          <w:rFonts w:cs="Arial" w:ascii="Arial" w:hAnsi="Arial"/>
          <w:color w:val="000000"/>
          <w:sz w:val="20"/>
          <w:szCs w:val="20"/>
          <w:highlight w:val="white"/>
        </w:rPr>
        <w:t>Camaquã/RS</w:t>
      </w:r>
      <w:r>
        <w:rPr>
          <w:rFonts w:cs="Arial" w:ascii="Arial" w:hAnsi="Arial"/>
          <w:sz w:val="20"/>
          <w:szCs w:val="20"/>
        </w:rPr>
        <w:t xml:space="preserve">, inscrito(a) no CNPJ sob o nº </w:t>
      </w:r>
      <w:r>
        <w:rPr>
          <w:rFonts w:cs="Arial" w:ascii="Arial" w:hAnsi="Arial"/>
          <w:color w:val="000000"/>
          <w:sz w:val="20"/>
          <w:szCs w:val="20"/>
          <w:highlight w:val="white"/>
        </w:rPr>
        <w:t>10.729.992/0006-50</w:t>
      </w:r>
      <w:r>
        <w:rPr>
          <w:rFonts w:cs="Arial" w:ascii="Arial" w:hAnsi="Arial"/>
          <w:sz w:val="20"/>
          <w:szCs w:val="20"/>
        </w:rPr>
        <w:t xml:space="preserve">, neste ato representado pelo </w:t>
      </w:r>
      <w:r>
        <w:rPr>
          <w:rFonts w:cs="Arial" w:ascii="Arial" w:hAnsi="Arial"/>
          <w:iCs/>
          <w:color w:val="000000"/>
          <w:sz w:val="20"/>
          <w:szCs w:val="20"/>
          <w:highlight w:val="white"/>
        </w:rPr>
        <w:t>Diretor Geral Tales Emílio Costa Amorim</w:t>
      </w:r>
      <w:r>
        <w:rPr>
          <w:rFonts w:cs="Arial" w:ascii="Arial" w:hAnsi="Arial"/>
          <w:sz w:val="20"/>
          <w:szCs w:val="20"/>
        </w:rPr>
        <w:t xml:space="preserve">, nomeado(a) pela  Portaria nº </w:t>
      </w:r>
      <w:r>
        <w:rPr>
          <w:rFonts w:cs="Arial" w:ascii="Arial" w:hAnsi="Arial"/>
          <w:color w:val="000000"/>
          <w:sz w:val="20"/>
          <w:szCs w:val="20"/>
          <w:highlight w:val="white"/>
        </w:rPr>
        <w:t xml:space="preserve">1732/2017, publicada no </w:t>
      </w:r>
      <w:r>
        <w:rPr>
          <w:rFonts w:cs="Arial" w:ascii="Arial" w:hAnsi="Arial"/>
          <w:i/>
          <w:iCs/>
          <w:color w:val="000000"/>
          <w:sz w:val="20"/>
          <w:szCs w:val="20"/>
          <w:highlight w:val="white"/>
        </w:rPr>
        <w:t xml:space="preserve">D.O.U. </w:t>
      </w:r>
      <w:r>
        <w:rPr>
          <w:rFonts w:cs="Arial" w:ascii="Arial" w:hAnsi="Arial"/>
          <w:color w:val="000000"/>
          <w:sz w:val="20"/>
          <w:szCs w:val="20"/>
          <w:highlight w:val="white"/>
        </w:rPr>
        <w:t>de 04 de julho de 2017</w:t>
      </w:r>
      <w:r>
        <w:rPr>
          <w:rFonts w:cs="Arial" w:ascii="Arial" w:hAnsi="Arial"/>
          <w:sz w:val="20"/>
          <w:szCs w:val="20"/>
        </w:rPr>
        <w:t xml:space="preserve">, inscrito(a) no CPF nº </w:t>
      </w:r>
      <w:r>
        <w:rPr>
          <w:rFonts w:cs="Arial" w:ascii="Arial" w:hAnsi="Arial"/>
          <w:color w:val="000000"/>
          <w:sz w:val="20"/>
          <w:szCs w:val="20"/>
          <w:highlight w:val="white"/>
        </w:rPr>
        <w:t>617.421.120-72,</w:t>
      </w:r>
      <w:r>
        <w:rPr>
          <w:rFonts w:cs="Arial" w:ascii="Arial" w:hAnsi="Arial"/>
          <w:sz w:val="20"/>
          <w:szCs w:val="20"/>
        </w:rPr>
        <w:t xml:space="preserve"> portador(a) da Carteira de Identidade nº </w:t>
      </w:r>
      <w:r>
        <w:rPr>
          <w:rFonts w:cs="Arial" w:ascii="Arial" w:hAnsi="Arial"/>
          <w:color w:val="000000"/>
          <w:sz w:val="20"/>
          <w:szCs w:val="20"/>
          <w:highlight w:val="white"/>
        </w:rPr>
        <w:t>RG n.º 1048837742 SJS/II RS,</w:t>
      </w:r>
      <w:r>
        <w:rPr>
          <w:rFonts w:cs="Arial" w:ascii="Arial" w:hAnsi="Arial"/>
          <w:sz w:val="20"/>
          <w:szCs w:val="20"/>
        </w:rPr>
        <w:t xml:space="preserve"> doravante denominada CONTRATANTE, e o(a) </w:t>
      </w:r>
      <w:r>
        <w:rPr>
          <w:rFonts w:cs="Arial" w:ascii="Arial" w:hAnsi="Arial"/>
          <w:color w:val="000000"/>
          <w:sz w:val="20"/>
          <w:szCs w:val="20"/>
        </w:rPr>
        <w:t>XXXXXXXXXXXXX</w:t>
      </w:r>
      <w:r>
        <w:rPr>
          <w:rFonts w:cs="Arial" w:ascii="Arial" w:hAnsi="Arial"/>
          <w:sz w:val="20"/>
          <w:szCs w:val="20"/>
        </w:rPr>
        <w:t xml:space="preserve"> inscrito(a) no CNPJ/MF sob o nº XXXXXXXXXXXXXX, sediado(a) na XXXXXXXXXXXXX</w:t>
      </w:r>
      <w:r>
        <w:rPr>
          <w:rFonts w:cs="Times New Roman" w:ascii="Arial" w:hAnsi="Arial"/>
          <w:sz w:val="20"/>
          <w:szCs w:val="20"/>
        </w:rPr>
        <w:t xml:space="preserve">, em </w:t>
      </w:r>
      <w:r>
        <w:rPr>
          <w:rFonts w:cs="Times New Roman" w:ascii="Arial" w:hAnsi="Arial"/>
          <w:color w:val="000000"/>
          <w:sz w:val="20"/>
          <w:szCs w:val="20"/>
        </w:rPr>
        <w:t>XXXXXXXXXXXXX</w:t>
      </w:r>
      <w:r>
        <w:rPr>
          <w:rFonts w:cs="Times New Roman" w:ascii="Arial" w:hAnsi="Arial"/>
          <w:sz w:val="20"/>
          <w:szCs w:val="20"/>
        </w:rPr>
        <w:t xml:space="preserve"> doravante designada CONTRAT</w:t>
      </w:r>
      <w:r>
        <w:rPr>
          <w:rFonts w:cs="Times New Roman" w:ascii="Arial" w:hAnsi="Arial"/>
          <w:color w:val="000000"/>
          <w:sz w:val="20"/>
          <w:szCs w:val="20"/>
        </w:rPr>
        <w:t xml:space="preserve">ADA, neste ato representada pelo(a) Sr.(a) XXXXXXXXXXX, portador(a) da Carteira de Identidade nº XXXXXXXXXXXXXXX, expedida pela (o) XXXXXXXXXXX, e CPF Nº XXXXXXXXXXXX, tendo em vista o </w:t>
      </w:r>
      <w:r>
        <w:rPr>
          <w:rFonts w:cs="Times New Roman" w:ascii="Arial" w:hAnsi="Arial"/>
          <w:sz w:val="20"/>
          <w:szCs w:val="20"/>
        </w:rPr>
        <w:t>que consta no Processo Nº XXXXXXXXXXX</w:t>
      </w:r>
      <w:r>
        <w:rPr>
          <w:rFonts w:cs="Times New Roman" w:ascii="Arial" w:hAnsi="Arial"/>
          <w:color w:val="FF0000"/>
          <w:sz w:val="20"/>
          <w:szCs w:val="20"/>
        </w:rPr>
        <w:t xml:space="preserve"> </w:t>
      </w:r>
      <w:r>
        <w:rPr>
          <w:rFonts w:cs="Times New Roman" w:ascii="Arial" w:hAnsi="Arial"/>
          <w:sz w:val="20"/>
          <w:szCs w:val="20"/>
        </w:rPr>
        <w:t xml:space="preserve">e em observância às disposições da Lei nº 8.666, de 21 de junho de 1993 e da Instrução Normativa SEGES/MP nº 5, de 26 de maio de 2017 e suas alterações, resolvem celebrar o presente Termo de Contrato, decorrente do </w:t>
      </w:r>
      <w:r>
        <w:rPr>
          <w:rFonts w:cs="Times New Roman" w:ascii="Arial" w:hAnsi="Arial"/>
          <w:color w:val="000000"/>
          <w:sz w:val="20"/>
          <w:szCs w:val="20"/>
        </w:rPr>
        <w:t>Pregão nº XXXX/2019, media</w:t>
      </w:r>
      <w:r>
        <w:rPr>
          <w:rFonts w:cs="Times New Roman" w:ascii="Arial" w:hAnsi="Arial"/>
          <w:sz w:val="20"/>
          <w:szCs w:val="20"/>
        </w:rPr>
        <w:t>nte as cláusulas e condições a seguir enunciadas.</w:t>
      </w:r>
    </w:p>
    <w:p>
      <w:pPr>
        <w:pStyle w:val="Nivel11"/>
        <w:numPr>
          <w:ilvl w:val="0"/>
          <w:numId w:val="23"/>
        </w:numPr>
        <w:ind w:left="357" w:right="0" w:hanging="357"/>
        <w:rPr>
          <w:rFonts w:ascii="Arial" w:hAnsi="Arial"/>
          <w:sz w:val="20"/>
          <w:szCs w:val="20"/>
        </w:rPr>
      </w:pPr>
      <w:r>
        <w:rPr>
          <w:sz w:val="20"/>
          <w:szCs w:val="20"/>
        </w:rPr>
        <w:t>CLÁUSULA PRIMEIRA – OBJETO</w:t>
      </w:r>
    </w:p>
    <w:p>
      <w:pPr>
        <w:pStyle w:val="Normal"/>
        <w:widowControl/>
        <w:numPr>
          <w:ilvl w:val="1"/>
          <w:numId w:val="23"/>
        </w:numPr>
        <w:tabs>
          <w:tab w:val="left" w:pos="1250" w:leader="none"/>
        </w:tabs>
        <w:suppressAutoHyphens w:val="true"/>
        <w:bidi w:val="0"/>
        <w:spacing w:lineRule="auto" w:line="276" w:before="120" w:after="120"/>
        <w:jc w:val="both"/>
        <w:rPr/>
      </w:pPr>
      <w:r>
        <w:rPr>
          <w:rFonts w:cs="Times New Roman" w:ascii="Arial" w:hAnsi="Arial"/>
          <w:color w:val="000000"/>
          <w:sz w:val="20"/>
          <w:szCs w:val="20"/>
        </w:rPr>
        <w:t xml:space="preserve">O objeto do presente instrumento é a contratação </w:t>
      </w:r>
      <w:r>
        <w:rPr>
          <w:rFonts w:cs="Times New Roman" w:ascii="Arial" w:hAnsi="Arial"/>
          <w:b w:val="false"/>
          <w:bCs w:val="false"/>
          <w:i w:val="false"/>
          <w:iCs w:val="false"/>
          <w:color w:val="000000"/>
          <w:sz w:val="20"/>
          <w:szCs w:val="20"/>
        </w:rPr>
        <w:t xml:space="preserve">de empresa especializada para a prestação de serviços continuados de manutenção preventiva e corretiva, incluindo mão de obra e peças de reposição, nos veículos oficiais, onde se inclui serviços classificados como leves, tais como: mecânica em geral, sistema elétrico/eletrônico, sistema de refrigeração, ar-condicionado, direção hidráulica, serviços de tapeçaria, vidraçaria, estofamento, balanceamento e alinhamento de rodas, cambagem, cáster, troca de óleo e filtros, troca de extintores, alinhamento de direção, lubrificação e instalação de acessórios, substituição e conserto de pneus, e outros serviços considerados necessários para manter em perfeito funcionamento os veículos oficiais pertencentes à frota do </w:t>
      </w:r>
      <w:r>
        <w:rPr>
          <w:rFonts w:cs="Times New Roman" w:ascii="Arial" w:hAnsi="Arial"/>
          <w:b w:val="false"/>
          <w:bCs w:val="false"/>
          <w:i/>
          <w:iCs/>
          <w:color w:val="000000"/>
          <w:sz w:val="20"/>
          <w:szCs w:val="20"/>
        </w:rPr>
        <w:t>campus</w:t>
      </w:r>
      <w:r>
        <w:rPr>
          <w:rFonts w:cs="Times New Roman" w:ascii="Arial" w:hAnsi="Arial"/>
          <w:b w:val="false"/>
          <w:bCs w:val="false"/>
          <w:i w:val="false"/>
          <w:iCs w:val="false"/>
          <w:color w:val="000000"/>
          <w:sz w:val="20"/>
          <w:szCs w:val="20"/>
        </w:rPr>
        <w:t xml:space="preserve"> Camaquã, do Instituto Federal Sul-rio-grandense, a serem prestados no município de Camaquã/RS</w:t>
      </w:r>
      <w:r>
        <w:rPr>
          <w:rFonts w:cs="Arial" w:ascii="Arial" w:hAnsi="Arial"/>
          <w:color w:val="000000"/>
          <w:sz w:val="20"/>
          <w:szCs w:val="20"/>
        </w:rPr>
        <w:t>, visando atender as necessidades do Instituto Federal Sul-rio-grandense, campus Camaquã e</w:t>
      </w:r>
      <w:r>
        <w:rPr>
          <w:rFonts w:cs="Times New Roman" w:ascii="Arial" w:hAnsi="Arial"/>
          <w:color w:val="000000"/>
          <w:sz w:val="20"/>
          <w:szCs w:val="20"/>
        </w:rPr>
        <w:t xml:space="preserve"> que serão prestados nas condições estabelecidas no Projeto Básico, anexo do Edital.</w:t>
      </w:r>
    </w:p>
    <w:p>
      <w:pPr>
        <w:pStyle w:val="Normal"/>
        <w:numPr>
          <w:ilvl w:val="1"/>
          <w:numId w:val="23"/>
        </w:numPr>
        <w:tabs>
          <w:tab w:val="left" w:pos="1141" w:leader="none"/>
        </w:tabs>
        <w:spacing w:lineRule="auto" w:line="276" w:before="120" w:after="120"/>
        <w:ind w:left="425" w:right="0" w:hanging="0"/>
        <w:jc w:val="both"/>
        <w:rPr>
          <w:rFonts w:ascii="Arial" w:hAnsi="Arial"/>
          <w:sz w:val="20"/>
          <w:szCs w:val="20"/>
        </w:rPr>
      </w:pPr>
      <w:r>
        <w:rPr>
          <w:rFonts w:eastAsia="Arial" w:cs="Arial" w:ascii="Arial" w:hAnsi="Arial"/>
          <w:color w:val="000000"/>
          <w:sz w:val="20"/>
          <w:szCs w:val="20"/>
        </w:rPr>
        <w:t xml:space="preserve"> </w:t>
      </w:r>
      <w:r>
        <w:rPr>
          <w:rFonts w:cs="Times New Roman" w:ascii="Arial" w:hAnsi="Arial"/>
          <w:color w:val="000000"/>
          <w:sz w:val="20"/>
          <w:szCs w:val="20"/>
        </w:rPr>
        <w:t>Este Termo de Contrato vincula-se ao Edital do Convite, identificado no preâmbulo e à proposta vencedora, independentemente de transcrição.</w:t>
      </w:r>
    </w:p>
    <w:p>
      <w:pPr>
        <w:pStyle w:val="Normal"/>
        <w:numPr>
          <w:ilvl w:val="1"/>
          <w:numId w:val="23"/>
        </w:numPr>
        <w:tabs>
          <w:tab w:val="left" w:pos="1188" w:leader="none"/>
        </w:tabs>
        <w:spacing w:lineRule="auto" w:line="276" w:before="120" w:after="120"/>
        <w:ind w:left="425" w:right="0" w:hanging="0"/>
        <w:jc w:val="both"/>
        <w:rPr>
          <w:rFonts w:ascii="Arial" w:hAnsi="Arial"/>
          <w:sz w:val="20"/>
          <w:szCs w:val="20"/>
        </w:rPr>
      </w:pPr>
      <w:r>
        <w:rPr>
          <w:rFonts w:cs="Times New Roman" w:ascii="Arial" w:hAnsi="Arial"/>
          <w:sz w:val="20"/>
          <w:szCs w:val="20"/>
        </w:rPr>
        <w:t>Objeto da contratação:</w:t>
      </w:r>
    </w:p>
    <w:p>
      <w:pPr>
        <w:pStyle w:val="Normal"/>
        <w:spacing w:lineRule="auto" w:line="276" w:before="120" w:after="120"/>
        <w:ind w:left="425" w:right="0" w:hanging="0"/>
        <w:jc w:val="both"/>
        <w:rPr>
          <w:rFonts w:ascii="Arial" w:hAnsi="Arial" w:cs="Times New Roman"/>
          <w:sz w:val="20"/>
          <w:szCs w:val="20"/>
        </w:rPr>
      </w:pPr>
      <w:r>
        <w:rPr>
          <w:rFonts w:cs="Times New Roman" w:ascii="Arial" w:hAnsi="Arial"/>
          <w:sz w:val="20"/>
          <w:szCs w:val="20"/>
        </w:rPr>
      </w:r>
    </w:p>
    <w:tbl>
      <w:tblPr>
        <w:tblW w:w="9324" w:type="dxa"/>
        <w:jc w:val="left"/>
        <w:tblInd w:w="-46" w:type="dxa"/>
        <w:tblBorders>
          <w:top w:val="single" w:sz="4" w:space="0" w:color="000001"/>
          <w:left w:val="single" w:sz="4" w:space="0" w:color="000001"/>
          <w:bottom w:val="single" w:sz="4" w:space="0" w:color="000001"/>
          <w:insideH w:val="single" w:sz="4" w:space="0" w:color="000001"/>
        </w:tblBorders>
        <w:tblCellMar>
          <w:top w:w="0" w:type="dxa"/>
          <w:left w:w="-5" w:type="dxa"/>
          <w:bottom w:w="0" w:type="dxa"/>
          <w:right w:w="10" w:type="dxa"/>
        </w:tblCellMar>
      </w:tblPr>
      <w:tblGrid>
        <w:gridCol w:w="849"/>
        <w:gridCol w:w="2683"/>
        <w:gridCol w:w="1134"/>
        <w:gridCol w:w="1485"/>
        <w:gridCol w:w="1501"/>
        <w:gridCol w:w="1"/>
        <w:gridCol w:w="1670"/>
      </w:tblGrid>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Item</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Descrição</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Unidade de medida</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Quantidade</w:t>
            </w:r>
          </w:p>
        </w:tc>
        <w:tc>
          <w:tcPr>
            <w:tcW w:w="1502"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Valor Unitário máximo aceitável</w:t>
            </w:r>
          </w:p>
        </w:tc>
        <w:tc>
          <w:tcPr>
            <w:tcW w:w="167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Valor Total</w:t>
            </w:r>
          </w:p>
        </w:tc>
      </w:tr>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1</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both"/>
              <w:rPr>
                <w:rFonts w:ascii="Arial" w:hAnsi="Arial"/>
                <w:sz w:val="20"/>
                <w:szCs w:val="20"/>
              </w:rPr>
            </w:pPr>
            <w:r>
              <w:rPr>
                <w:rFonts w:ascii="Arial" w:hAnsi="Arial"/>
                <w:b w:val="false"/>
                <w:bCs w:val="false"/>
                <w:i w:val="false"/>
                <w:iCs w:val="false"/>
                <w:sz w:val="20"/>
                <w:szCs w:val="20"/>
              </w:rPr>
              <w:t xml:space="preserve">Prestação de serviços continuados de manutenção preventiva e corretiva nos veículos oficiais leves pertencentes à frota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Hora /Serviço Mecânico</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76</w:t>
            </w:r>
          </w:p>
        </w:tc>
        <w:tc>
          <w:tcPr>
            <w:tcW w:w="1502"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c>
          <w:tcPr>
            <w:tcW w:w="167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r>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2</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both"/>
              <w:rPr>
                <w:rFonts w:ascii="Arial" w:hAnsi="Arial"/>
                <w:sz w:val="20"/>
                <w:szCs w:val="20"/>
              </w:rPr>
            </w:pPr>
            <w:r>
              <w:rPr>
                <w:rFonts w:ascii="Arial" w:hAnsi="Arial"/>
                <w:b w:val="false"/>
                <w:bCs w:val="false"/>
                <w:i w:val="false"/>
                <w:iCs w:val="false"/>
                <w:sz w:val="20"/>
                <w:szCs w:val="20"/>
              </w:rPr>
              <w:t>Peças de reposição veículos leves.</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unidade</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55</w:t>
            </w:r>
          </w:p>
        </w:tc>
        <w:tc>
          <w:tcPr>
            <w:tcW w:w="1502"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c>
          <w:tcPr>
            <w:tcW w:w="167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r>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3</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both"/>
              <w:rPr>
                <w:rFonts w:ascii="Arial" w:hAnsi="Arial"/>
                <w:sz w:val="20"/>
                <w:szCs w:val="20"/>
              </w:rPr>
            </w:pPr>
            <w:r>
              <w:rPr>
                <w:rFonts w:ascii="Arial" w:hAnsi="Arial"/>
                <w:b w:val="false"/>
                <w:bCs w:val="false"/>
                <w:i w:val="false"/>
                <w:iCs w:val="false"/>
                <w:sz w:val="20"/>
                <w:szCs w:val="20"/>
              </w:rPr>
              <w:t xml:space="preserve">Prestação de serviços continuados de manutenção preventiva e corretiva nos veículos oficiais a diesel pertencentes à frota do </w:t>
            </w:r>
            <w:r>
              <w:rPr>
                <w:rFonts w:ascii="Arial" w:hAnsi="Arial"/>
                <w:b w:val="false"/>
                <w:bCs w:val="false"/>
                <w:i/>
                <w:iCs/>
                <w:sz w:val="20"/>
                <w:szCs w:val="20"/>
              </w:rPr>
              <w:t>Campus</w:t>
            </w:r>
            <w:r>
              <w:rPr>
                <w:rFonts w:ascii="Arial" w:hAnsi="Arial"/>
                <w:b w:val="false"/>
                <w:bCs w:val="false"/>
                <w:i w:val="false"/>
                <w:iCs w:val="false"/>
                <w:sz w:val="20"/>
                <w:szCs w:val="20"/>
              </w:rPr>
              <w:t xml:space="preserve"> Camaquã, do Instituto Federal Sul-rio-grandense.</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Hora /Serviço Mecânico</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66</w:t>
            </w:r>
          </w:p>
        </w:tc>
        <w:tc>
          <w:tcPr>
            <w:tcW w:w="1502"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c>
          <w:tcPr>
            <w:tcW w:w="167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r>
      <w:tr>
        <w:trPr/>
        <w:tc>
          <w:tcPr>
            <w:tcW w:w="849"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4</w:t>
            </w:r>
          </w:p>
        </w:tc>
        <w:tc>
          <w:tcPr>
            <w:tcW w:w="2683"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both"/>
              <w:rPr>
                <w:rFonts w:ascii="Arial" w:hAnsi="Arial"/>
                <w:sz w:val="20"/>
                <w:szCs w:val="20"/>
              </w:rPr>
            </w:pPr>
            <w:r>
              <w:rPr>
                <w:rFonts w:ascii="Arial" w:hAnsi="Arial"/>
                <w:b w:val="false"/>
                <w:bCs w:val="false"/>
                <w:i w:val="false"/>
                <w:iCs w:val="false"/>
                <w:sz w:val="20"/>
                <w:szCs w:val="20"/>
              </w:rPr>
              <w:t>Peças de reposição veículos a diesel.</w:t>
            </w:r>
          </w:p>
        </w:tc>
        <w:tc>
          <w:tcPr>
            <w:tcW w:w="1134"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unidade</w:t>
            </w:r>
          </w:p>
        </w:tc>
        <w:tc>
          <w:tcPr>
            <w:tcW w:w="1485" w:type="dxa"/>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65</w:t>
            </w:r>
          </w:p>
        </w:tc>
        <w:tc>
          <w:tcPr>
            <w:tcW w:w="1502" w:type="dxa"/>
            <w:gridSpan w:val="2"/>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c>
          <w:tcPr>
            <w:tcW w:w="167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r>
      <w:tr>
        <w:trPr/>
        <w:tc>
          <w:tcPr>
            <w:tcW w:w="7652" w:type="dxa"/>
            <w:gridSpan w:val="5"/>
            <w:tcBorders>
              <w:top w:val="single" w:sz="4" w:space="0" w:color="000001"/>
              <w:left w:val="single" w:sz="4" w:space="0" w:color="000001"/>
              <w:bottom w:val="single" w:sz="4" w:space="0" w:color="000001"/>
              <w:insideH w:val="single" w:sz="4" w:space="0" w:color="000001"/>
            </w:tcBorders>
            <w:shd w:fill="FFFFFF" w:val="clear"/>
            <w:tcMar>
              <w:left w:w="-5" w:type="dxa"/>
            </w:tcMar>
          </w:tcPr>
          <w:p>
            <w:pPr>
              <w:pStyle w:val="Corpodetexto"/>
              <w:spacing w:before="0" w:after="120"/>
              <w:jc w:val="center"/>
              <w:rPr>
                <w:rFonts w:ascii="Arial" w:hAnsi="Arial"/>
                <w:sz w:val="20"/>
                <w:szCs w:val="20"/>
              </w:rPr>
            </w:pPr>
            <w:r>
              <w:rPr>
                <w:rFonts w:ascii="Arial" w:hAnsi="Arial"/>
                <w:b w:val="false"/>
                <w:bCs w:val="false"/>
                <w:i w:val="false"/>
                <w:iCs w:val="false"/>
                <w:sz w:val="20"/>
                <w:szCs w:val="20"/>
              </w:rPr>
              <w:t xml:space="preserve">Valor Global R$    </w:t>
            </w:r>
          </w:p>
        </w:tc>
        <w:tc>
          <w:tcPr>
            <w:tcW w:w="167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5" w:type="dxa"/>
            </w:tcMar>
          </w:tcPr>
          <w:p>
            <w:pPr>
              <w:pStyle w:val="Corpodetexto"/>
              <w:spacing w:before="0" w:after="120"/>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tc>
      </w:tr>
    </w:tbl>
    <w:p>
      <w:pPr>
        <w:pStyle w:val="Normal"/>
        <w:spacing w:lineRule="auto" w:line="276" w:before="120" w:after="120"/>
        <w:ind w:right="0" w:hanging="0"/>
        <w:jc w:val="both"/>
        <w:rPr>
          <w:rFonts w:ascii="Arial" w:hAnsi="Arial"/>
          <w:sz w:val="20"/>
          <w:szCs w:val="20"/>
        </w:rPr>
      </w:pPr>
      <w:r>
        <w:rPr>
          <w:rFonts w:ascii="Arial" w:hAnsi="Arial"/>
          <w:sz w:val="20"/>
          <w:szCs w:val="20"/>
        </w:rPr>
      </w:r>
    </w:p>
    <w:p>
      <w:pPr>
        <w:pStyle w:val="Nivel11"/>
        <w:keepNext/>
        <w:keepLines/>
        <w:widowControl/>
        <w:numPr>
          <w:ilvl w:val="0"/>
          <w:numId w:val="23"/>
        </w:numPr>
        <w:suppressAutoHyphens w:val="true"/>
        <w:bidi w:val="0"/>
        <w:spacing w:lineRule="auto" w:line="276" w:before="480" w:after="0"/>
        <w:ind w:left="340" w:right="0" w:hanging="907"/>
        <w:jc w:val="both"/>
        <w:rPr>
          <w:rFonts w:ascii="Arial" w:hAnsi="Arial"/>
          <w:sz w:val="20"/>
          <w:szCs w:val="20"/>
        </w:rPr>
      </w:pPr>
      <w:r>
        <w:rPr>
          <w:sz w:val="20"/>
          <w:szCs w:val="20"/>
        </w:rPr>
        <w:t>CLÁUSULA SEGUNDA – VIGÊNCIA</w:t>
      </w:r>
    </w:p>
    <w:p>
      <w:pPr>
        <w:pStyle w:val="Normal"/>
        <w:widowControl/>
        <w:numPr>
          <w:ilvl w:val="1"/>
          <w:numId w:val="23"/>
        </w:numPr>
        <w:suppressAutoHyphens w:val="true"/>
        <w:bidi w:val="0"/>
        <w:spacing w:lineRule="auto" w:line="276" w:before="120" w:after="120"/>
        <w:ind w:left="0" w:right="0" w:hanging="0"/>
        <w:jc w:val="both"/>
        <w:rPr>
          <w:rFonts w:ascii="Arial" w:hAnsi="Arial"/>
          <w:sz w:val="20"/>
          <w:szCs w:val="20"/>
        </w:rPr>
      </w:pPr>
      <w:r>
        <w:rPr>
          <w:rFonts w:cs="Arial" w:ascii="Arial" w:hAnsi="Arial"/>
          <w:bCs/>
          <w:i w:val="false"/>
          <w:iCs w:val="false"/>
          <w:sz w:val="20"/>
          <w:szCs w:val="20"/>
        </w:rPr>
        <w:t xml:space="preserve">O prazo de vigência deste Termo de Contrato é aquele fixado no Edital, com início na data </w:t>
      </w:r>
      <w:r>
        <w:rPr>
          <w:rFonts w:cs="Arial" w:ascii="Arial" w:hAnsi="Arial"/>
          <w:bCs/>
          <w:i w:val="false"/>
          <w:iCs w:val="false"/>
          <w:color w:val="000000"/>
          <w:sz w:val="20"/>
          <w:szCs w:val="20"/>
        </w:rPr>
        <w:t xml:space="preserve">de XX/XX/XXX e encerramento em XX/XX/XXX, </w:t>
      </w:r>
      <w:r>
        <w:rPr>
          <w:rFonts w:cs="Arial" w:ascii="Arial" w:hAnsi="Arial"/>
          <w:i w:val="false"/>
          <w:iCs w:val="false"/>
          <w:color w:val="000000"/>
          <w:sz w:val="20"/>
          <w:szCs w:val="20"/>
        </w:rPr>
        <w:t>podendo ser prorrogado por interesse das partes até o limite de 60 (sessenta) meses, desde que haja autorização formal da autoridade competente e observados os seguintes requisitos:</w:t>
      </w:r>
    </w:p>
    <w:p>
      <w:pPr>
        <w:pStyle w:val="Normal"/>
        <w:numPr>
          <w:ilvl w:val="2"/>
          <w:numId w:val="23"/>
        </w:numPr>
        <w:spacing w:lineRule="auto" w:line="276" w:before="120" w:after="120"/>
        <w:ind w:left="1135" w:right="0" w:hanging="0"/>
        <w:jc w:val="both"/>
        <w:rPr>
          <w:rFonts w:ascii="Arial" w:hAnsi="Arial"/>
          <w:sz w:val="20"/>
          <w:szCs w:val="20"/>
        </w:rPr>
      </w:pPr>
      <w:r>
        <w:rPr>
          <w:rFonts w:cs="Arial" w:ascii="Arial" w:hAnsi="Arial"/>
          <w:bCs/>
          <w:i w:val="false"/>
          <w:iCs w:val="false"/>
          <w:color w:val="000000"/>
          <w:sz w:val="20"/>
          <w:szCs w:val="20"/>
        </w:rPr>
        <w:t>Os serviços tenham sido prestados regularmente;</w:t>
      </w:r>
    </w:p>
    <w:p>
      <w:pPr>
        <w:pStyle w:val="Normal"/>
        <w:numPr>
          <w:ilvl w:val="2"/>
          <w:numId w:val="23"/>
        </w:numPr>
        <w:spacing w:lineRule="auto" w:line="276" w:before="120" w:after="120"/>
        <w:ind w:left="1135" w:right="0" w:hanging="0"/>
        <w:jc w:val="both"/>
        <w:rPr>
          <w:rFonts w:ascii="Arial" w:hAnsi="Arial"/>
          <w:sz w:val="20"/>
          <w:szCs w:val="20"/>
        </w:rPr>
      </w:pPr>
      <w:r>
        <w:rPr>
          <w:rFonts w:cs="Arial" w:ascii="Arial" w:hAnsi="Arial"/>
          <w:bCs/>
          <w:i w:val="false"/>
          <w:iCs w:val="false"/>
          <w:color w:val="000000"/>
          <w:sz w:val="20"/>
          <w:szCs w:val="20"/>
        </w:rPr>
        <w:t>Seja juntada justificativa e motivo, por escrito, de que a Administração mantém interesse na realização do serviço;</w:t>
      </w:r>
    </w:p>
    <w:p>
      <w:pPr>
        <w:pStyle w:val="Normal"/>
        <w:numPr>
          <w:ilvl w:val="2"/>
          <w:numId w:val="23"/>
        </w:numPr>
        <w:spacing w:lineRule="auto" w:line="276" w:before="120" w:after="120"/>
        <w:ind w:left="1135" w:right="0" w:hanging="0"/>
        <w:jc w:val="both"/>
        <w:rPr>
          <w:rFonts w:ascii="Arial" w:hAnsi="Arial"/>
          <w:sz w:val="20"/>
          <w:szCs w:val="20"/>
        </w:rPr>
      </w:pPr>
      <w:r>
        <w:rPr>
          <w:rFonts w:cs="Arial" w:ascii="Arial" w:hAnsi="Arial"/>
          <w:bCs/>
          <w:i w:val="false"/>
          <w:iCs w:val="false"/>
          <w:color w:val="000000"/>
          <w:sz w:val="20"/>
          <w:szCs w:val="20"/>
        </w:rPr>
        <w:t>Seja comprovado que o valor do contrato permanece economicamente vantajoso para a Administração;</w:t>
      </w:r>
    </w:p>
    <w:p>
      <w:pPr>
        <w:pStyle w:val="Normal"/>
        <w:numPr>
          <w:ilvl w:val="2"/>
          <w:numId w:val="23"/>
        </w:numPr>
        <w:spacing w:lineRule="auto" w:line="276" w:before="120" w:after="120"/>
        <w:ind w:left="1135" w:right="0" w:hanging="0"/>
        <w:jc w:val="both"/>
        <w:rPr>
          <w:rFonts w:ascii="Arial" w:hAnsi="Arial"/>
          <w:sz w:val="20"/>
          <w:szCs w:val="20"/>
        </w:rPr>
      </w:pPr>
      <w:r>
        <w:rPr>
          <w:rFonts w:cs="Arial" w:ascii="Arial" w:hAnsi="Arial"/>
          <w:bCs/>
          <w:i w:val="false"/>
          <w:iCs w:val="false"/>
          <w:color w:val="000000"/>
          <w:sz w:val="20"/>
          <w:szCs w:val="20"/>
        </w:rPr>
        <w:t xml:space="preserve">Haja manifestação expressa da contratada informando o interesse na prorrogação; </w:t>
      </w:r>
    </w:p>
    <w:p>
      <w:pPr>
        <w:pStyle w:val="Nivel11"/>
        <w:keepNext/>
        <w:keepLines/>
        <w:widowControl/>
        <w:numPr>
          <w:ilvl w:val="0"/>
          <w:numId w:val="23"/>
        </w:numPr>
        <w:suppressAutoHyphens w:val="true"/>
        <w:bidi w:val="0"/>
        <w:spacing w:lineRule="auto" w:line="276" w:before="480" w:after="0"/>
        <w:ind w:left="340" w:right="0" w:hanging="907"/>
        <w:jc w:val="both"/>
        <w:rPr>
          <w:rFonts w:ascii="Arial" w:hAnsi="Arial"/>
          <w:sz w:val="20"/>
          <w:szCs w:val="20"/>
        </w:rPr>
      </w:pPr>
      <w:r>
        <w:rPr>
          <w:sz w:val="20"/>
          <w:szCs w:val="20"/>
        </w:rPr>
        <w:t>CLÁUSULA TERCEIRA – PREÇO</w:t>
      </w:r>
    </w:p>
    <w:p>
      <w:pPr>
        <w:pStyle w:val="Normal"/>
        <w:widowControl/>
        <w:numPr>
          <w:ilvl w:val="1"/>
          <w:numId w:val="23"/>
        </w:numPr>
        <w:suppressAutoHyphens w:val="true"/>
        <w:bidi w:val="0"/>
        <w:spacing w:lineRule="auto" w:line="276" w:before="120" w:after="120"/>
        <w:ind w:left="510" w:right="0" w:hanging="624"/>
        <w:jc w:val="both"/>
        <w:rPr>
          <w:rFonts w:ascii="Arial" w:hAnsi="Arial"/>
          <w:sz w:val="20"/>
          <w:szCs w:val="20"/>
        </w:rPr>
      </w:pPr>
      <w:r>
        <w:rPr>
          <w:rFonts w:cs="Times New Roman" w:ascii="Arial" w:hAnsi="Arial"/>
          <w:b w:val="false"/>
          <w:bCs w:val="false"/>
          <w:color w:val="000000"/>
          <w:sz w:val="20"/>
          <w:szCs w:val="20"/>
          <w:u w:val="none"/>
        </w:rPr>
        <w:t>O valor total da contratação é de R$ XXXX,XX;</w:t>
      </w:r>
    </w:p>
    <w:p>
      <w:pPr>
        <w:pStyle w:val="Normal"/>
        <w:widowControl/>
        <w:numPr>
          <w:ilvl w:val="1"/>
          <w:numId w:val="23"/>
        </w:numPr>
        <w:suppressAutoHyphens w:val="true"/>
        <w:bidi w:val="0"/>
        <w:spacing w:lineRule="auto" w:line="276" w:before="120" w:after="120"/>
        <w:ind w:left="0" w:right="0" w:hanging="0"/>
        <w:jc w:val="both"/>
        <w:rPr>
          <w:rFonts w:ascii="Arial" w:hAnsi="Arial"/>
          <w:sz w:val="20"/>
          <w:szCs w:val="20"/>
        </w:rPr>
      </w:pPr>
      <w:r>
        <w:rPr>
          <w:rFonts w:eastAsia="Arial" w:cs="Arial" w:ascii="Arial" w:hAnsi="Arial"/>
          <w:color w:val="000000"/>
          <w:sz w:val="20"/>
          <w:szCs w:val="20"/>
        </w:rPr>
        <w:t xml:space="preserve"> </w:t>
      </w:r>
      <w:r>
        <w:rPr>
          <w:rFonts w:cs="Times New Roman" w:ascii="Arial" w:hAnsi="Arial"/>
          <w:color w:val="000000"/>
          <w:sz w:val="20"/>
          <w:szCs w:val="20"/>
        </w:rPr>
        <w:t>No valor acima estão incluídas todas as despesas or</w:t>
      </w:r>
      <w:r>
        <w:rPr>
          <w:rFonts w:cs="Times New Roman" w:ascii="Arial" w:hAnsi="Arial"/>
          <w:sz w:val="20"/>
          <w:szCs w:val="20"/>
        </w:rPr>
        <w:t>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widowControl/>
        <w:numPr>
          <w:ilvl w:val="1"/>
          <w:numId w:val="23"/>
        </w:numPr>
        <w:tabs>
          <w:tab w:val="left" w:pos="563" w:leader="none"/>
        </w:tabs>
        <w:suppressAutoHyphens w:val="true"/>
        <w:bidi w:val="0"/>
        <w:spacing w:lineRule="auto" w:line="276" w:before="120" w:after="120"/>
        <w:ind w:left="0" w:right="0" w:hanging="0"/>
        <w:jc w:val="both"/>
        <w:rPr>
          <w:rFonts w:ascii="Arial" w:hAnsi="Arial"/>
          <w:sz w:val="20"/>
          <w:szCs w:val="20"/>
        </w:rPr>
      </w:pPr>
      <w:r>
        <w:rPr>
          <w:rFonts w:cs="Times New Roman" w:ascii="Arial" w:hAnsi="Arial"/>
          <w:sz w:val="20"/>
          <w:szCs w:val="20"/>
        </w:rPr>
        <w:t>O valor acima é meramente estimativo, de forma que os pagamentos devidos à CONTRATADA dependerão dos quantitativos de serviços efetivamente prestados.</w:t>
      </w:r>
    </w:p>
    <w:p>
      <w:pPr>
        <w:pStyle w:val="Nivel11"/>
        <w:keepNext/>
        <w:keepLines/>
        <w:widowControl/>
        <w:numPr>
          <w:ilvl w:val="0"/>
          <w:numId w:val="23"/>
        </w:numPr>
        <w:suppressAutoHyphens w:val="true"/>
        <w:bidi w:val="0"/>
        <w:spacing w:lineRule="auto" w:line="276" w:before="480" w:after="0"/>
        <w:ind w:left="340" w:right="0" w:hanging="907"/>
        <w:jc w:val="both"/>
        <w:rPr>
          <w:rFonts w:ascii="Arial" w:hAnsi="Arial"/>
          <w:sz w:val="20"/>
          <w:szCs w:val="20"/>
        </w:rPr>
      </w:pPr>
      <w:r>
        <w:rPr>
          <w:sz w:val="20"/>
          <w:szCs w:val="20"/>
        </w:rPr>
        <w:t>CLÁUSULA QUARTA – DOTAÇÃO ORÇAMENTÁRIA</w:t>
      </w:r>
    </w:p>
    <w:p>
      <w:pPr>
        <w:pStyle w:val="Normal"/>
        <w:widowControl/>
        <w:numPr>
          <w:ilvl w:val="1"/>
          <w:numId w:val="23"/>
        </w:numPr>
        <w:tabs>
          <w:tab w:val="left" w:pos="625" w:leader="none"/>
        </w:tabs>
        <w:suppressAutoHyphens w:val="true"/>
        <w:bidi w:val="0"/>
        <w:spacing w:lineRule="auto" w:line="276" w:before="120" w:after="120"/>
        <w:ind w:left="0" w:right="0" w:hanging="0"/>
        <w:jc w:val="both"/>
        <w:rPr>
          <w:rFonts w:ascii="Arial" w:hAnsi="Arial"/>
          <w:sz w:val="20"/>
          <w:szCs w:val="20"/>
        </w:rPr>
      </w:pPr>
      <w:r>
        <w:rPr>
          <w:rFonts w:cs="Times New Roman" w:ascii="Arial" w:hAnsi="Arial"/>
          <w:sz w:val="20"/>
          <w:szCs w:val="20"/>
        </w:rPr>
        <w:t>As despesas decorrentes desta contratação estão programadas em dotação orçamentária própria, prevista no orçamento da União, para o exercício de 2019, na classificação abaixo:</w:t>
      </w:r>
    </w:p>
    <w:p>
      <w:pPr>
        <w:pStyle w:val="Normal"/>
        <w:spacing w:lineRule="auto" w:line="276" w:before="120" w:after="120"/>
        <w:ind w:left="1134" w:right="0" w:hanging="0"/>
        <w:jc w:val="both"/>
        <w:rPr>
          <w:rFonts w:ascii="Arial" w:hAnsi="Arial"/>
          <w:sz w:val="20"/>
          <w:szCs w:val="20"/>
        </w:rPr>
      </w:pPr>
      <w:r>
        <w:rPr>
          <w:rFonts w:cs="Arial" w:ascii="Arial" w:hAnsi="Arial"/>
          <w:sz w:val="20"/>
          <w:szCs w:val="20"/>
        </w:rPr>
        <w:t xml:space="preserve">Gestão/Unidade:  </w:t>
      </w:r>
      <w:r>
        <w:rPr>
          <w:rFonts w:cs="Calibri" w:ascii="Arial" w:hAnsi="Arial"/>
          <w:color w:val="000000"/>
          <w:sz w:val="20"/>
          <w:szCs w:val="20"/>
        </w:rPr>
        <w:t>26436/151878</w:t>
      </w:r>
    </w:p>
    <w:p>
      <w:pPr>
        <w:pStyle w:val="Normal"/>
        <w:spacing w:lineRule="auto" w:line="276" w:before="120" w:after="120"/>
        <w:ind w:left="1134" w:right="0" w:hanging="0"/>
        <w:jc w:val="both"/>
        <w:rPr>
          <w:rFonts w:ascii="Arial" w:hAnsi="Arial"/>
          <w:sz w:val="20"/>
          <w:szCs w:val="20"/>
        </w:rPr>
      </w:pPr>
      <w:r>
        <w:rPr>
          <w:rFonts w:cs="Arial" w:ascii="Arial" w:hAnsi="Arial"/>
          <w:sz w:val="20"/>
          <w:szCs w:val="20"/>
        </w:rPr>
        <w:t xml:space="preserve">Fonte: </w:t>
      </w:r>
      <w:r>
        <w:rPr>
          <w:rFonts w:cs="Calibri" w:ascii="Arial" w:hAnsi="Arial"/>
          <w:color w:val="000000"/>
          <w:sz w:val="20"/>
          <w:szCs w:val="20"/>
        </w:rPr>
        <w:t>8100000000</w:t>
      </w:r>
    </w:p>
    <w:p>
      <w:pPr>
        <w:pStyle w:val="Normal"/>
        <w:spacing w:lineRule="auto" w:line="276" w:before="120" w:after="120"/>
        <w:ind w:left="1134" w:right="0" w:hanging="0"/>
        <w:jc w:val="both"/>
        <w:rPr>
          <w:rFonts w:ascii="Arial" w:hAnsi="Arial"/>
          <w:sz w:val="20"/>
          <w:szCs w:val="20"/>
        </w:rPr>
      </w:pPr>
      <w:r>
        <w:rPr>
          <w:rFonts w:cs="Arial" w:ascii="Arial" w:hAnsi="Arial"/>
          <w:sz w:val="20"/>
          <w:szCs w:val="20"/>
        </w:rPr>
        <w:t xml:space="preserve">Programa de Trabalho:  </w:t>
      </w:r>
      <w:r>
        <w:rPr>
          <w:rFonts w:cs="Calibri" w:ascii="Arial" w:hAnsi="Arial"/>
          <w:color w:val="000000"/>
          <w:sz w:val="20"/>
          <w:szCs w:val="20"/>
        </w:rPr>
        <w:t>12.363.2031.20RL.0043</w:t>
      </w:r>
    </w:p>
    <w:p>
      <w:pPr>
        <w:pStyle w:val="Normal"/>
        <w:spacing w:lineRule="auto" w:line="276" w:before="120" w:after="120"/>
        <w:ind w:left="1134" w:right="0" w:hanging="0"/>
        <w:jc w:val="both"/>
        <w:rPr/>
      </w:pPr>
      <w:r>
        <w:rPr>
          <w:rFonts w:cs="Arial" w:ascii="Arial" w:hAnsi="Arial"/>
          <w:sz w:val="20"/>
          <w:szCs w:val="20"/>
        </w:rPr>
        <w:t>Elemento de Despesa:  339039</w:t>
      </w:r>
    </w:p>
    <w:p>
      <w:pPr>
        <w:pStyle w:val="Normal"/>
        <w:spacing w:lineRule="auto" w:line="276" w:before="120" w:after="120"/>
        <w:ind w:left="1134" w:right="0" w:hanging="0"/>
        <w:jc w:val="both"/>
        <w:rPr>
          <w:rFonts w:ascii="Arial" w:hAnsi="Arial"/>
          <w:sz w:val="20"/>
          <w:szCs w:val="20"/>
        </w:rPr>
      </w:pPr>
      <w:r>
        <w:rPr>
          <w:rFonts w:cs="Arial" w:ascii="Arial" w:hAnsi="Arial"/>
          <w:sz w:val="20"/>
          <w:szCs w:val="20"/>
        </w:rPr>
        <w:t xml:space="preserve">PI: </w:t>
      </w:r>
      <w:r>
        <w:rPr>
          <w:rFonts w:cs="Calibri" w:ascii="Arial" w:hAnsi="Arial"/>
          <w:color w:val="000000"/>
          <w:sz w:val="20"/>
          <w:szCs w:val="20"/>
        </w:rPr>
        <w:t>L20RLP0108R</w:t>
      </w:r>
    </w:p>
    <w:p>
      <w:pPr>
        <w:pStyle w:val="Normal"/>
        <w:widowControl/>
        <w:numPr>
          <w:ilvl w:val="1"/>
          <w:numId w:val="23"/>
        </w:numPr>
        <w:tabs>
          <w:tab w:val="left" w:pos="969" w:leader="none"/>
        </w:tabs>
        <w:suppressAutoHyphens w:val="true"/>
        <w:bidi w:val="0"/>
        <w:spacing w:lineRule="auto" w:line="276" w:before="120" w:after="120"/>
        <w:ind w:left="454" w:right="0" w:hanging="0"/>
        <w:jc w:val="both"/>
        <w:rPr>
          <w:rFonts w:ascii="Arial" w:hAnsi="Arial"/>
          <w:sz w:val="20"/>
          <w:szCs w:val="20"/>
        </w:rPr>
      </w:pPr>
      <w:r>
        <w:rPr>
          <w:rFonts w:cs="Arial" w:ascii="Arial" w:hAnsi="Arial"/>
          <w:sz w:val="20"/>
          <w:szCs w:val="20"/>
        </w:rPr>
        <w:t>No(s) exercício(s) seguinte(s), as despesas correspondentes correrão à conta dos recursos próprios para atender às despesas da mesma natureza, cuja alocação será feita no início de cada exercício financeiro.</w:t>
      </w:r>
      <w:r>
        <w:rPr>
          <w:rFonts w:cs="Times New Roman" w:ascii="Arial" w:hAnsi="Arial"/>
          <w:b/>
          <w:sz w:val="20"/>
          <w:szCs w:val="20"/>
        </w:rPr>
        <w:t xml:space="preserve"> </w:t>
      </w:r>
    </w:p>
    <w:p>
      <w:pPr>
        <w:pStyle w:val="Nivel11"/>
        <w:numPr>
          <w:ilvl w:val="0"/>
          <w:numId w:val="23"/>
        </w:numPr>
        <w:ind w:left="357" w:right="0" w:hanging="357"/>
        <w:rPr>
          <w:rFonts w:ascii="Arial" w:hAnsi="Arial"/>
          <w:sz w:val="20"/>
          <w:szCs w:val="20"/>
        </w:rPr>
      </w:pPr>
      <w:r>
        <w:rPr>
          <w:sz w:val="20"/>
          <w:szCs w:val="20"/>
        </w:rPr>
        <w:t>CLÁUSULA QUINTA – PAGAMENTO</w:t>
      </w:r>
    </w:p>
    <w:p>
      <w:pPr>
        <w:pStyle w:val="Normal"/>
        <w:numPr>
          <w:ilvl w:val="1"/>
          <w:numId w:val="23"/>
        </w:numPr>
        <w:tabs>
          <w:tab w:val="left" w:pos="969" w:leader="none"/>
        </w:tabs>
        <w:spacing w:lineRule="auto" w:line="276" w:before="120" w:after="120"/>
        <w:ind w:left="425" w:right="0" w:hanging="0"/>
        <w:jc w:val="both"/>
        <w:rPr>
          <w:rFonts w:ascii="Arial" w:hAnsi="Arial"/>
          <w:sz w:val="20"/>
          <w:szCs w:val="20"/>
        </w:rPr>
      </w:pPr>
      <w:r>
        <w:rPr>
          <w:rFonts w:cs="Arial" w:ascii="Arial" w:hAnsi="Arial"/>
          <w:sz w:val="20"/>
          <w:szCs w:val="20"/>
        </w:rPr>
        <w:t xml:space="preserve">O prazo para pagamento à CONTRATADA e demais condições a ele referentes encontram-se definidos no Projeto Básico e no Anexo XI da IN SEGES/MP n. 5/2017. </w:t>
      </w:r>
    </w:p>
    <w:p>
      <w:pPr>
        <w:pStyle w:val="Nivel11"/>
        <w:numPr>
          <w:ilvl w:val="0"/>
          <w:numId w:val="23"/>
        </w:numPr>
        <w:ind w:left="357" w:right="0" w:hanging="357"/>
        <w:rPr>
          <w:rFonts w:ascii="Arial" w:hAnsi="Arial"/>
          <w:sz w:val="20"/>
          <w:szCs w:val="20"/>
        </w:rPr>
      </w:pPr>
      <w:r>
        <w:rPr>
          <w:sz w:val="20"/>
          <w:szCs w:val="20"/>
        </w:rPr>
        <w:t>CLÁUSULA SEXTA – REAJUSTE</w:t>
      </w:r>
    </w:p>
    <w:p>
      <w:pPr>
        <w:pStyle w:val="Normal"/>
        <w:numPr>
          <w:ilvl w:val="1"/>
          <w:numId w:val="23"/>
        </w:numPr>
        <w:tabs>
          <w:tab w:val="left" w:pos="969" w:leader="none"/>
        </w:tabs>
        <w:spacing w:lineRule="auto" w:line="276" w:before="120" w:after="120"/>
        <w:ind w:left="425" w:right="0" w:hanging="0"/>
        <w:jc w:val="both"/>
        <w:rPr/>
      </w:pPr>
      <w:r>
        <w:rPr>
          <w:rFonts w:cs="Arial" w:ascii="Arial" w:hAnsi="Arial"/>
          <w:sz w:val="20"/>
          <w:szCs w:val="20"/>
        </w:rPr>
        <w:t>As</w:t>
      </w:r>
      <w:r>
        <w:rPr>
          <w:rFonts w:eastAsia="ＭＳ ゴシック" w:cs="Arial" w:ascii="Arial" w:hAnsi="Arial"/>
          <w:bCs/>
          <w:sz w:val="20"/>
          <w:szCs w:val="20"/>
        </w:rPr>
        <w:t xml:space="preserve"> regras acerca do reajuste do valor contratual são as estabelecidas no Edital.</w:t>
      </w:r>
    </w:p>
    <w:p>
      <w:pPr>
        <w:pStyle w:val="Nivel11"/>
        <w:numPr>
          <w:ilvl w:val="0"/>
          <w:numId w:val="23"/>
        </w:numPr>
        <w:ind w:left="357" w:right="0" w:hanging="357"/>
        <w:rPr>
          <w:rFonts w:ascii="Arial" w:hAnsi="Arial"/>
          <w:sz w:val="20"/>
          <w:szCs w:val="20"/>
        </w:rPr>
      </w:pPr>
      <w:r>
        <w:rPr>
          <w:i w:val="false"/>
          <w:iCs w:val="false"/>
          <w:color w:val="000000"/>
          <w:sz w:val="20"/>
          <w:szCs w:val="20"/>
        </w:rPr>
        <w:t>CLÁUSULA SÉTIMA – GARANTIA DE EXECUÇÃO</w:t>
      </w:r>
    </w:p>
    <w:p>
      <w:pPr>
        <w:pStyle w:val="Normal"/>
        <w:widowControl/>
        <w:suppressAutoHyphens w:val="true"/>
        <w:bidi w:val="0"/>
        <w:spacing w:before="280" w:after="280"/>
        <w:ind w:left="0" w:right="0" w:firstLine="454"/>
        <w:jc w:val="left"/>
        <w:rPr>
          <w:rFonts w:ascii="Arial" w:hAnsi="Arial"/>
          <w:sz w:val="20"/>
          <w:szCs w:val="20"/>
        </w:rPr>
      </w:pPr>
      <w:r>
        <w:rPr>
          <w:rFonts w:cs="Arial" w:ascii="Arial" w:hAnsi="Arial"/>
          <w:b/>
          <w:bCs/>
          <w:color w:val="000000"/>
          <w:sz w:val="20"/>
          <w:szCs w:val="20"/>
        </w:rPr>
        <w:t>7.1.</w:t>
      </w:r>
      <w:r>
        <w:rPr>
          <w:rFonts w:cs="Arial" w:ascii="Arial" w:hAnsi="Arial"/>
          <w:color w:val="000000"/>
          <w:sz w:val="20"/>
          <w:szCs w:val="20"/>
        </w:rPr>
        <w:t xml:space="preserve"> Não haverá exigência de garantia de execução para a presente contratação.</w:t>
      </w:r>
    </w:p>
    <w:p>
      <w:pPr>
        <w:pStyle w:val="Nivel11"/>
        <w:numPr>
          <w:ilvl w:val="0"/>
          <w:numId w:val="23"/>
        </w:numPr>
        <w:ind w:left="357" w:right="0" w:hanging="357"/>
        <w:rPr>
          <w:rFonts w:ascii="Arial" w:hAnsi="Arial"/>
          <w:sz w:val="20"/>
          <w:szCs w:val="20"/>
        </w:rPr>
      </w:pPr>
      <w:r>
        <w:rPr>
          <w:sz w:val="20"/>
          <w:szCs w:val="20"/>
        </w:rPr>
        <w:t>CLÁUSULA OITAVA – REGIME DE EXECUÇÃO DOS SERVIÇOS E FISCALIZAÇÃO</w:t>
      </w:r>
    </w:p>
    <w:p>
      <w:pPr>
        <w:pStyle w:val="Normal"/>
        <w:numPr>
          <w:ilvl w:val="1"/>
          <w:numId w:val="23"/>
        </w:numPr>
        <w:tabs>
          <w:tab w:val="left" w:pos="844" w:leader="none"/>
        </w:tabs>
        <w:spacing w:lineRule="auto" w:line="276" w:before="120" w:after="120"/>
        <w:ind w:left="425" w:right="0" w:hanging="0"/>
        <w:jc w:val="both"/>
        <w:rPr>
          <w:rFonts w:ascii="Arial" w:hAnsi="Arial"/>
          <w:sz w:val="20"/>
          <w:szCs w:val="20"/>
        </w:rPr>
      </w:pPr>
      <w:r>
        <w:rPr>
          <w:rFonts w:cs="Arial" w:ascii="Arial" w:hAnsi="Arial"/>
          <w:sz w:val="20"/>
          <w:szCs w:val="20"/>
        </w:rPr>
        <w:t>O regime de execução dos serviços a serem executados pela CONTRATADA, os materiais que serão empregados e a fiscalização pela CONTRATANTE são aqueles previstos no Projeto Básico, anexo do Edital.</w:t>
      </w:r>
    </w:p>
    <w:p>
      <w:pPr>
        <w:pStyle w:val="Nivel11"/>
        <w:numPr>
          <w:ilvl w:val="0"/>
          <w:numId w:val="23"/>
        </w:numPr>
        <w:ind w:left="357" w:right="0" w:hanging="357"/>
        <w:rPr>
          <w:rFonts w:ascii="Arial" w:hAnsi="Arial"/>
          <w:sz w:val="20"/>
          <w:szCs w:val="20"/>
        </w:rPr>
      </w:pPr>
      <w:r>
        <w:rPr>
          <w:sz w:val="20"/>
          <w:szCs w:val="20"/>
        </w:rPr>
        <w:t>CLÁUSULA NONA – OBRIGAÇÕES DA CONTRATANTE E DA CONTRATADA</w:t>
      </w:r>
    </w:p>
    <w:p>
      <w:pPr>
        <w:pStyle w:val="Normal"/>
        <w:numPr>
          <w:ilvl w:val="1"/>
          <w:numId w:val="23"/>
        </w:numPr>
        <w:tabs>
          <w:tab w:val="left" w:pos="844" w:leader="none"/>
        </w:tabs>
        <w:spacing w:lineRule="auto" w:line="276" w:before="120" w:after="120"/>
        <w:ind w:left="425" w:right="0" w:hanging="0"/>
        <w:jc w:val="both"/>
        <w:rPr>
          <w:rFonts w:ascii="Arial" w:hAnsi="Arial"/>
          <w:sz w:val="20"/>
          <w:szCs w:val="20"/>
        </w:rPr>
      </w:pPr>
      <w:r>
        <w:rPr>
          <w:rFonts w:cs="Times New Roman" w:ascii="Arial" w:hAnsi="Arial"/>
          <w:sz w:val="20"/>
          <w:szCs w:val="20"/>
        </w:rPr>
        <w:t>As obrigações da CONTRATANTE e da CONTRATADA são aquelas previstas no Projeto Básico, anexo do Edital.</w:t>
      </w:r>
    </w:p>
    <w:p>
      <w:pPr>
        <w:pStyle w:val="Nivel11"/>
        <w:numPr>
          <w:ilvl w:val="0"/>
          <w:numId w:val="23"/>
        </w:numPr>
        <w:ind w:left="357" w:right="0" w:hanging="357"/>
        <w:rPr>
          <w:rFonts w:ascii="Arial" w:hAnsi="Arial"/>
          <w:sz w:val="20"/>
          <w:szCs w:val="20"/>
        </w:rPr>
      </w:pPr>
      <w:r>
        <w:rPr>
          <w:sz w:val="20"/>
          <w:szCs w:val="20"/>
        </w:rPr>
        <w:t>CLÁUSULA DÉCIMA – SANÇÕES ADMINISTRATIVAS.</w:t>
      </w:r>
    </w:p>
    <w:p>
      <w:pPr>
        <w:pStyle w:val="Normal"/>
        <w:widowControl/>
        <w:numPr>
          <w:ilvl w:val="1"/>
          <w:numId w:val="23"/>
        </w:numPr>
        <w:tabs>
          <w:tab w:val="left" w:pos="844" w:leader="none"/>
          <w:tab w:val="left" w:pos="969" w:leader="none"/>
        </w:tabs>
        <w:suppressAutoHyphens w:val="true"/>
        <w:bidi w:val="0"/>
        <w:spacing w:lineRule="auto" w:line="276" w:before="120" w:after="120"/>
        <w:ind w:left="850" w:right="0" w:hanging="397"/>
        <w:jc w:val="both"/>
        <w:rPr>
          <w:rFonts w:ascii="Arial" w:hAnsi="Arial"/>
          <w:sz w:val="20"/>
          <w:szCs w:val="20"/>
        </w:rPr>
      </w:pPr>
      <w:r>
        <w:rPr>
          <w:rFonts w:cs="Times New Roman" w:ascii="Arial" w:hAnsi="Arial"/>
          <w:sz w:val="20"/>
          <w:szCs w:val="20"/>
        </w:rPr>
        <w:t>As sanções relacionadas à execução do contrato são aquelas previstas no Projeto Básico, anexo do Edital.</w:t>
      </w:r>
    </w:p>
    <w:p>
      <w:pPr>
        <w:pStyle w:val="Nivel11"/>
        <w:numPr>
          <w:ilvl w:val="0"/>
          <w:numId w:val="23"/>
        </w:numPr>
        <w:ind w:left="357" w:right="0" w:hanging="357"/>
        <w:rPr>
          <w:rFonts w:ascii="Arial" w:hAnsi="Arial"/>
          <w:sz w:val="20"/>
          <w:szCs w:val="20"/>
        </w:rPr>
      </w:pPr>
      <w:r>
        <w:rPr>
          <w:sz w:val="20"/>
          <w:szCs w:val="20"/>
        </w:rPr>
        <w:t>CLÁUSULA DÉCIMA PRIMEIRA – RESCISÃO</w:t>
      </w:r>
    </w:p>
    <w:p>
      <w:pPr>
        <w:pStyle w:val="Normal"/>
        <w:numPr>
          <w:ilvl w:val="1"/>
          <w:numId w:val="23"/>
        </w:numPr>
        <w:tabs>
          <w:tab w:val="left" w:pos="844" w:leader="none"/>
          <w:tab w:val="left" w:pos="969" w:leader="none"/>
        </w:tabs>
        <w:spacing w:lineRule="auto" w:line="276" w:before="120" w:after="120"/>
        <w:ind w:left="425" w:right="0" w:hanging="0"/>
        <w:jc w:val="both"/>
        <w:rPr>
          <w:rFonts w:ascii="Arial" w:hAnsi="Arial"/>
          <w:sz w:val="20"/>
          <w:szCs w:val="20"/>
        </w:rPr>
      </w:pPr>
      <w:r>
        <w:rPr>
          <w:rFonts w:ascii="Arial" w:hAnsi="Arial"/>
          <w:sz w:val="20"/>
          <w:szCs w:val="20"/>
        </w:rPr>
        <w:t>O presente Termo de Contrato poderá ser rescindido</w:t>
      </w:r>
      <w:r>
        <w:rPr>
          <w:rFonts w:cs="Arial" w:ascii="Arial" w:hAnsi="Arial"/>
          <w:sz w:val="20"/>
          <w:szCs w:val="20"/>
        </w:rPr>
        <w:t>:</w:t>
      </w:r>
    </w:p>
    <w:p>
      <w:pPr>
        <w:pStyle w:val="Normal"/>
        <w:widowControl/>
        <w:numPr>
          <w:ilvl w:val="2"/>
          <w:numId w:val="23"/>
        </w:numPr>
        <w:tabs>
          <w:tab w:val="left" w:pos="2328" w:leader="none"/>
        </w:tabs>
        <w:suppressAutoHyphens w:val="true"/>
        <w:bidi w:val="0"/>
        <w:spacing w:lineRule="auto" w:line="276" w:before="120" w:after="120"/>
        <w:ind w:left="1757" w:right="0" w:hanging="0"/>
        <w:jc w:val="both"/>
        <w:rPr>
          <w:rFonts w:ascii="Arial" w:hAnsi="Arial"/>
          <w:sz w:val="20"/>
          <w:szCs w:val="20"/>
        </w:rPr>
      </w:pPr>
      <w:r>
        <w:rPr>
          <w:rFonts w:cs="Arial" w:ascii="Arial" w:hAnsi="Arial"/>
          <w:sz w:val="20"/>
          <w:szCs w:val="20"/>
        </w:rPr>
        <w:t>por ato unilateral e escrito da Administração,</w:t>
      </w:r>
      <w:r>
        <w:rPr>
          <w:rFonts w:ascii="Arial" w:hAnsi="Arial"/>
          <w:sz w:val="20"/>
          <w:szCs w:val="20"/>
        </w:rPr>
        <w:t xml:space="preserve"> nas </w:t>
      </w:r>
      <w:r>
        <w:rPr>
          <w:rFonts w:cs="Arial" w:ascii="Arial" w:hAnsi="Arial"/>
          <w:sz w:val="20"/>
          <w:szCs w:val="20"/>
        </w:rPr>
        <w:t>situações</w:t>
      </w:r>
      <w:r>
        <w:rPr>
          <w:rFonts w:ascii="Arial" w:hAnsi="Arial"/>
          <w:sz w:val="20"/>
          <w:szCs w:val="20"/>
        </w:rPr>
        <w:t xml:space="preserve"> previstas </w:t>
      </w:r>
      <w:r>
        <w:rPr>
          <w:rFonts w:cs="Arial" w:ascii="Arial" w:hAnsi="Arial"/>
          <w:sz w:val="20"/>
          <w:szCs w:val="20"/>
        </w:rPr>
        <w:t>nos incisos I a XII e XVII do</w:t>
      </w:r>
      <w:r>
        <w:rPr>
          <w:rFonts w:ascii="Arial" w:hAnsi="Arial"/>
          <w:sz w:val="20"/>
          <w:szCs w:val="20"/>
        </w:rPr>
        <w:t xml:space="preserve"> art. 78 da Lei nº 8.666, de 1993,</w:t>
      </w:r>
      <w:r>
        <w:rPr>
          <w:rFonts w:cs="Arial" w:ascii="Arial" w:hAnsi="Arial"/>
          <w:sz w:val="20"/>
          <w:szCs w:val="20"/>
        </w:rPr>
        <w:t xml:space="preserve"> e</w:t>
      </w:r>
      <w:r>
        <w:rPr>
          <w:rFonts w:ascii="Arial" w:hAnsi="Arial"/>
          <w:sz w:val="20"/>
          <w:szCs w:val="20"/>
        </w:rPr>
        <w:t xml:space="preserve"> com as consequências indicadas no art. 80 da mesma Lei, sem prejuízo da aplicação das sanções previstas no Projeto Básico, anexo </w:t>
      </w:r>
      <w:r>
        <w:rPr>
          <w:rFonts w:cs="Arial" w:ascii="Arial" w:hAnsi="Arial"/>
          <w:sz w:val="20"/>
          <w:szCs w:val="20"/>
        </w:rPr>
        <w:t>ao</w:t>
      </w:r>
      <w:r>
        <w:rPr>
          <w:rFonts w:ascii="Arial" w:hAnsi="Arial"/>
          <w:sz w:val="20"/>
          <w:szCs w:val="20"/>
        </w:rPr>
        <w:t xml:space="preserve"> Edital</w:t>
      </w:r>
      <w:r>
        <w:rPr>
          <w:rFonts w:cs="Arial" w:ascii="Arial" w:hAnsi="Arial"/>
          <w:sz w:val="20"/>
          <w:szCs w:val="20"/>
        </w:rPr>
        <w:t>;</w:t>
      </w:r>
    </w:p>
    <w:p>
      <w:pPr>
        <w:pStyle w:val="Normal"/>
        <w:widowControl/>
        <w:numPr>
          <w:ilvl w:val="2"/>
          <w:numId w:val="23"/>
        </w:numPr>
        <w:suppressAutoHyphens w:val="true"/>
        <w:bidi w:val="0"/>
        <w:spacing w:lineRule="auto" w:line="276" w:before="120" w:after="120"/>
        <w:ind w:left="1814" w:right="0" w:hanging="57"/>
        <w:jc w:val="both"/>
        <w:rPr>
          <w:rFonts w:ascii="Arial" w:hAnsi="Arial"/>
          <w:sz w:val="20"/>
          <w:szCs w:val="20"/>
        </w:rPr>
      </w:pPr>
      <w:r>
        <w:rPr>
          <w:rFonts w:cs="Arial" w:ascii="Arial" w:hAnsi="Arial"/>
          <w:sz w:val="20"/>
          <w:szCs w:val="20"/>
        </w:rPr>
        <w:t xml:space="preserve">amigavelmente, nos termos do art. 79, inciso II, da Lei nº 8.666, de 1993. </w:t>
      </w:r>
    </w:p>
    <w:p>
      <w:pPr>
        <w:pStyle w:val="Normal"/>
        <w:numPr>
          <w:ilvl w:val="1"/>
          <w:numId w:val="23"/>
        </w:numPr>
        <w:spacing w:lineRule="auto" w:line="276" w:before="120" w:after="120"/>
        <w:ind w:left="425" w:right="0" w:hanging="0"/>
        <w:jc w:val="both"/>
        <w:rPr>
          <w:rFonts w:ascii="Arial" w:hAnsi="Arial"/>
          <w:sz w:val="20"/>
          <w:szCs w:val="20"/>
        </w:rPr>
      </w:pPr>
      <w:r>
        <w:rPr>
          <w:rFonts w:cs="Times New Roman" w:ascii="Arial" w:hAnsi="Arial"/>
          <w:sz w:val="20"/>
          <w:szCs w:val="20"/>
        </w:rPr>
        <w:t>Os casos de rescisão contratual serão formalmente motivados, assegurando-se à CONTRATADA o direito à prévia e ampla defesa.</w:t>
      </w:r>
    </w:p>
    <w:p>
      <w:pPr>
        <w:pStyle w:val="Normal"/>
        <w:numPr>
          <w:ilvl w:val="1"/>
          <w:numId w:val="23"/>
        </w:numPr>
        <w:spacing w:lineRule="auto" w:line="276" w:before="120" w:after="120"/>
        <w:ind w:left="425" w:right="0" w:hanging="0"/>
        <w:jc w:val="both"/>
        <w:rPr>
          <w:rFonts w:ascii="Arial" w:hAnsi="Arial"/>
          <w:sz w:val="20"/>
          <w:szCs w:val="20"/>
        </w:rPr>
      </w:pPr>
      <w:r>
        <w:rPr>
          <w:rFonts w:cs="Times New Roman" w:ascii="Arial" w:hAnsi="Arial"/>
          <w:sz w:val="20"/>
          <w:szCs w:val="20"/>
        </w:rPr>
        <w:t>A CONTRATADA reconhece os direitos da CONTRATANTE em caso de rescisão administrativa prevista no art. 77 da Lei nº 8.666, de 1993.</w:t>
      </w:r>
    </w:p>
    <w:p>
      <w:pPr>
        <w:pStyle w:val="Normal"/>
        <w:numPr>
          <w:ilvl w:val="1"/>
          <w:numId w:val="23"/>
        </w:numPr>
        <w:spacing w:lineRule="auto" w:line="276" w:before="120" w:after="120"/>
        <w:ind w:left="425" w:right="0" w:hanging="0"/>
        <w:jc w:val="both"/>
        <w:rPr>
          <w:rFonts w:ascii="Arial" w:hAnsi="Arial"/>
          <w:sz w:val="20"/>
          <w:szCs w:val="20"/>
        </w:rPr>
      </w:pPr>
      <w:r>
        <w:rPr>
          <w:rFonts w:cs="Times New Roman" w:ascii="Arial" w:hAnsi="Arial"/>
          <w:sz w:val="20"/>
          <w:szCs w:val="20"/>
        </w:rPr>
        <w:t>O termo de rescisão, sempre que possível, será precedido:</w:t>
      </w:r>
    </w:p>
    <w:p>
      <w:pPr>
        <w:pStyle w:val="Normal"/>
        <w:numPr>
          <w:ilvl w:val="2"/>
          <w:numId w:val="23"/>
        </w:numPr>
        <w:spacing w:lineRule="auto" w:line="276" w:before="120" w:after="120"/>
        <w:ind w:left="1134" w:right="0" w:hanging="0"/>
        <w:jc w:val="both"/>
        <w:rPr>
          <w:rFonts w:ascii="Arial" w:hAnsi="Arial"/>
          <w:sz w:val="20"/>
          <w:szCs w:val="20"/>
        </w:rPr>
      </w:pPr>
      <w:r>
        <w:rPr>
          <w:rFonts w:cs="Times New Roman" w:ascii="Arial" w:hAnsi="Arial"/>
          <w:sz w:val="20"/>
          <w:szCs w:val="20"/>
        </w:rPr>
        <w:t>Balanço dos eventos contratuais já cumpridos ou parcialmente cumpridos;</w:t>
      </w:r>
    </w:p>
    <w:p>
      <w:pPr>
        <w:pStyle w:val="Normal"/>
        <w:numPr>
          <w:ilvl w:val="2"/>
          <w:numId w:val="23"/>
        </w:numPr>
        <w:spacing w:lineRule="auto" w:line="276" w:before="120" w:after="120"/>
        <w:ind w:left="1134" w:right="0" w:hanging="0"/>
        <w:jc w:val="both"/>
        <w:rPr>
          <w:rFonts w:ascii="Arial" w:hAnsi="Arial"/>
          <w:sz w:val="20"/>
          <w:szCs w:val="20"/>
        </w:rPr>
      </w:pPr>
      <w:r>
        <w:rPr>
          <w:rFonts w:cs="Times New Roman" w:ascii="Arial" w:hAnsi="Arial"/>
          <w:sz w:val="20"/>
          <w:szCs w:val="20"/>
        </w:rPr>
        <w:t>Relação dos pagamentos já efetuados e ainda devidos;</w:t>
      </w:r>
    </w:p>
    <w:p>
      <w:pPr>
        <w:pStyle w:val="Normal"/>
        <w:numPr>
          <w:ilvl w:val="2"/>
          <w:numId w:val="23"/>
        </w:numPr>
        <w:spacing w:lineRule="auto" w:line="276" w:before="120" w:after="120"/>
        <w:ind w:left="1134" w:right="0" w:hanging="0"/>
        <w:jc w:val="both"/>
        <w:rPr>
          <w:rFonts w:ascii="Arial" w:hAnsi="Arial"/>
          <w:sz w:val="20"/>
          <w:szCs w:val="20"/>
        </w:rPr>
      </w:pPr>
      <w:r>
        <w:rPr>
          <w:rFonts w:cs="Times New Roman" w:ascii="Arial" w:hAnsi="Arial"/>
          <w:sz w:val="20"/>
          <w:szCs w:val="20"/>
        </w:rPr>
        <w:t>Indenizações e multas.</w:t>
      </w:r>
    </w:p>
    <w:p>
      <w:pPr>
        <w:pStyle w:val="Nivel11"/>
        <w:keepNext/>
        <w:keepLines/>
        <w:widowControl/>
        <w:numPr>
          <w:ilvl w:val="0"/>
          <w:numId w:val="23"/>
        </w:numPr>
        <w:suppressAutoHyphens w:val="true"/>
        <w:bidi w:val="0"/>
        <w:spacing w:lineRule="auto" w:line="276" w:before="480" w:after="0"/>
        <w:ind w:left="340" w:right="0" w:hanging="907"/>
        <w:jc w:val="both"/>
        <w:rPr>
          <w:rFonts w:ascii="Arial" w:hAnsi="Arial"/>
          <w:sz w:val="20"/>
          <w:szCs w:val="20"/>
        </w:rPr>
      </w:pPr>
      <w:r>
        <w:rPr>
          <w:sz w:val="20"/>
          <w:szCs w:val="20"/>
        </w:rPr>
        <w:t>CLÁUSULA DÉCIMA SEGUNDA – VEDAÇÕES</w:t>
      </w:r>
    </w:p>
    <w:p>
      <w:pPr>
        <w:pStyle w:val="Normal"/>
        <w:widowControl/>
        <w:numPr>
          <w:ilvl w:val="1"/>
          <w:numId w:val="23"/>
        </w:numPr>
        <w:suppressAutoHyphens w:val="true"/>
        <w:bidi w:val="0"/>
        <w:spacing w:lineRule="auto" w:line="276" w:before="120" w:after="120"/>
        <w:ind w:left="0" w:right="0" w:hanging="0"/>
        <w:jc w:val="both"/>
        <w:rPr>
          <w:rFonts w:ascii="Arial" w:hAnsi="Arial"/>
          <w:sz w:val="20"/>
          <w:szCs w:val="20"/>
        </w:rPr>
      </w:pPr>
      <w:r>
        <w:rPr>
          <w:rFonts w:cs="Times New Roman" w:ascii="Arial" w:hAnsi="Arial"/>
          <w:sz w:val="20"/>
          <w:szCs w:val="20"/>
        </w:rPr>
        <w:t>É vedado à CONTRATADA:</w:t>
      </w:r>
    </w:p>
    <w:p>
      <w:pPr>
        <w:pStyle w:val="Normal"/>
        <w:numPr>
          <w:ilvl w:val="2"/>
          <w:numId w:val="23"/>
        </w:numPr>
        <w:spacing w:lineRule="auto" w:line="276" w:before="120" w:after="120"/>
        <w:ind w:left="1134" w:right="0" w:hanging="0"/>
        <w:jc w:val="both"/>
        <w:rPr>
          <w:rFonts w:ascii="Arial" w:hAnsi="Arial"/>
          <w:sz w:val="20"/>
          <w:szCs w:val="20"/>
        </w:rPr>
      </w:pPr>
      <w:r>
        <w:rPr>
          <w:rFonts w:cs="Times New Roman" w:ascii="Arial" w:hAnsi="Arial"/>
          <w:sz w:val="20"/>
          <w:szCs w:val="20"/>
        </w:rPr>
        <w:t>Caucionar ou utilizar este Termo de Contrato para qualquer operação financeira;</w:t>
      </w:r>
    </w:p>
    <w:p>
      <w:pPr>
        <w:pStyle w:val="Normal"/>
        <w:numPr>
          <w:ilvl w:val="2"/>
          <w:numId w:val="23"/>
        </w:numPr>
        <w:spacing w:lineRule="auto" w:line="276" w:before="120" w:after="120"/>
        <w:ind w:left="1134" w:right="0" w:hanging="0"/>
        <w:jc w:val="both"/>
        <w:rPr>
          <w:rFonts w:ascii="Arial" w:hAnsi="Arial"/>
          <w:sz w:val="20"/>
          <w:szCs w:val="20"/>
        </w:rPr>
      </w:pPr>
      <w:r>
        <w:rPr>
          <w:rFonts w:cs="Times New Roman" w:ascii="Arial" w:hAnsi="Arial"/>
          <w:sz w:val="20"/>
          <w:szCs w:val="20"/>
        </w:rPr>
        <w:t>Interromper a execução dos serviços sob alegação de inadimplemento por parte da CONTRATANTE, salvo nos casos previstos em lei.</w:t>
      </w:r>
    </w:p>
    <w:p>
      <w:pPr>
        <w:pStyle w:val="Nivel11"/>
        <w:keepNext/>
        <w:keepLines/>
        <w:widowControl/>
        <w:numPr>
          <w:ilvl w:val="0"/>
          <w:numId w:val="23"/>
        </w:numPr>
        <w:suppressAutoHyphens w:val="true"/>
        <w:bidi w:val="0"/>
        <w:spacing w:lineRule="auto" w:line="276" w:before="480" w:after="0"/>
        <w:ind w:left="340" w:right="0" w:hanging="907"/>
        <w:jc w:val="both"/>
        <w:rPr>
          <w:rFonts w:ascii="Arial" w:hAnsi="Arial"/>
          <w:sz w:val="20"/>
          <w:szCs w:val="20"/>
        </w:rPr>
      </w:pPr>
      <w:r>
        <w:rPr>
          <w:sz w:val="20"/>
          <w:szCs w:val="20"/>
        </w:rPr>
        <w:t>CLÁUSULA DÉCIMA TERCEIRA – ALTERAÇÕES</w:t>
      </w:r>
    </w:p>
    <w:p>
      <w:pPr>
        <w:pStyle w:val="Normal"/>
        <w:widowControl/>
        <w:numPr>
          <w:ilvl w:val="1"/>
          <w:numId w:val="23"/>
        </w:numPr>
        <w:suppressAutoHyphens w:val="true"/>
        <w:bidi w:val="0"/>
        <w:spacing w:lineRule="auto" w:line="276" w:before="120" w:after="120"/>
        <w:ind w:left="0" w:right="0" w:hanging="0"/>
        <w:jc w:val="both"/>
        <w:rPr>
          <w:rFonts w:ascii="Arial" w:hAnsi="Arial"/>
          <w:sz w:val="20"/>
          <w:szCs w:val="20"/>
        </w:rPr>
      </w:pPr>
      <w:r>
        <w:rPr>
          <w:rFonts w:cs="Times New Roman" w:ascii="Arial" w:hAnsi="Arial"/>
          <w:sz w:val="20"/>
          <w:szCs w:val="20"/>
        </w:rPr>
        <w:t>Eventuais alterações contratuais reger-se-ão pela disciplina do art. 65 da Lei nº 8.666, de 1993.</w:t>
      </w:r>
    </w:p>
    <w:p>
      <w:pPr>
        <w:pStyle w:val="Normal"/>
        <w:widowControl/>
        <w:numPr>
          <w:ilvl w:val="1"/>
          <w:numId w:val="23"/>
        </w:numPr>
        <w:suppressAutoHyphens w:val="true"/>
        <w:bidi w:val="0"/>
        <w:spacing w:lineRule="auto" w:line="276" w:before="120" w:after="120"/>
        <w:ind w:left="0" w:right="0" w:hanging="0"/>
        <w:jc w:val="both"/>
        <w:rPr>
          <w:rFonts w:ascii="Arial" w:hAnsi="Arial"/>
          <w:sz w:val="20"/>
          <w:szCs w:val="20"/>
        </w:rPr>
      </w:pPr>
      <w:r>
        <w:rPr>
          <w:rFonts w:cs="Times New Roman" w:ascii="Arial" w:hAnsi="Arial"/>
          <w:sz w:val="20"/>
          <w:szCs w:val="20"/>
        </w:rPr>
        <w:t>A CONTRATADA é obrigada a aceitar, nas mesmas condições contratuais, os acréscimos ou supressões que se fizerem necessários, até o limite de 25% (vinte e cinco por cento) do valor inicial atualizado do contrato.</w:t>
      </w:r>
    </w:p>
    <w:p>
      <w:pPr>
        <w:pStyle w:val="Normal"/>
        <w:widowControl/>
        <w:numPr>
          <w:ilvl w:val="1"/>
          <w:numId w:val="23"/>
        </w:numPr>
        <w:suppressAutoHyphens w:val="true"/>
        <w:bidi w:val="0"/>
        <w:spacing w:lineRule="auto" w:line="276" w:before="120" w:after="120"/>
        <w:ind w:left="0" w:right="0" w:hanging="0"/>
        <w:jc w:val="both"/>
        <w:rPr>
          <w:rFonts w:ascii="Arial" w:hAnsi="Arial"/>
          <w:sz w:val="20"/>
          <w:szCs w:val="20"/>
        </w:rPr>
      </w:pPr>
      <w:r>
        <w:rPr>
          <w:rFonts w:cs="Times New Roman" w:ascii="Arial" w:hAnsi="Arial"/>
          <w:sz w:val="20"/>
          <w:szCs w:val="20"/>
        </w:rPr>
        <w:t>As supressões resultantes de acordo celebrado entre as partes contratantes poderão exceder o limite de 25% (vinte e cinco por cento) do valor inicial atualizado do contrato.</w:t>
      </w:r>
    </w:p>
    <w:p>
      <w:pPr>
        <w:pStyle w:val="Nivel11"/>
        <w:keepNext/>
        <w:keepLines/>
        <w:widowControl/>
        <w:numPr>
          <w:ilvl w:val="0"/>
          <w:numId w:val="23"/>
        </w:numPr>
        <w:suppressAutoHyphens w:val="true"/>
        <w:bidi w:val="0"/>
        <w:spacing w:lineRule="auto" w:line="276" w:before="480" w:after="0"/>
        <w:ind w:left="340" w:right="0" w:hanging="907"/>
        <w:jc w:val="both"/>
        <w:rPr>
          <w:rFonts w:ascii="Arial" w:hAnsi="Arial"/>
          <w:sz w:val="20"/>
          <w:szCs w:val="20"/>
        </w:rPr>
      </w:pPr>
      <w:r>
        <w:rPr>
          <w:sz w:val="20"/>
          <w:szCs w:val="20"/>
        </w:rPr>
        <w:t>CLÁUSULA DÉCIMA QUARTA – DOS CASOS OMISSOS</w:t>
      </w:r>
    </w:p>
    <w:p>
      <w:pPr>
        <w:pStyle w:val="Nivel11"/>
        <w:keepNext/>
        <w:keepLines/>
        <w:widowControl/>
        <w:numPr>
          <w:ilvl w:val="1"/>
          <w:numId w:val="23"/>
        </w:numPr>
        <w:suppressAutoHyphens w:val="true"/>
        <w:bidi w:val="0"/>
        <w:spacing w:lineRule="auto" w:line="276" w:before="480" w:after="0"/>
        <w:ind w:left="0" w:right="0" w:hanging="57"/>
        <w:jc w:val="both"/>
        <w:rPr>
          <w:rFonts w:ascii="Arial" w:hAnsi="Arial"/>
          <w:sz w:val="20"/>
          <w:szCs w:val="20"/>
        </w:rPr>
      </w:pPr>
      <w:r>
        <w:rPr>
          <w:b w:val="false"/>
          <w:sz w:val="20"/>
          <w:szCs w:val="20"/>
        </w:rPr>
        <w:t>Os casos omissos serão decididos pela CONTRATANTE, segundo as disposições contidas na Lei nº 8.666, de 1993, na Lei nº 10.520, de 2002 e demais normas federais aplicáveis e, subsidiariamente, normas e princípios gerais dos contratos.</w:t>
      </w:r>
    </w:p>
    <w:p>
      <w:pPr>
        <w:pStyle w:val="Nivel11"/>
        <w:keepNext/>
        <w:keepLines/>
        <w:widowControl/>
        <w:numPr>
          <w:ilvl w:val="0"/>
          <w:numId w:val="23"/>
        </w:numPr>
        <w:suppressAutoHyphens w:val="true"/>
        <w:bidi w:val="0"/>
        <w:spacing w:lineRule="auto" w:line="276" w:before="480" w:after="0"/>
        <w:ind w:left="340" w:right="0" w:hanging="850"/>
        <w:jc w:val="both"/>
        <w:rPr>
          <w:rFonts w:ascii="Arial" w:hAnsi="Arial"/>
          <w:sz w:val="20"/>
          <w:szCs w:val="20"/>
        </w:rPr>
      </w:pPr>
      <w:bookmarkStart w:id="5" w:name="_GoBack1"/>
      <w:bookmarkEnd w:id="5"/>
      <w:r>
        <w:rPr>
          <w:sz w:val="20"/>
          <w:szCs w:val="20"/>
        </w:rPr>
        <w:t>CLÁUSULA DÉCIMA QUINTA – PUBLICAÇÃO</w:t>
      </w:r>
    </w:p>
    <w:p>
      <w:pPr>
        <w:pStyle w:val="Normal"/>
        <w:widowControl/>
        <w:numPr>
          <w:ilvl w:val="1"/>
          <w:numId w:val="23"/>
        </w:numPr>
        <w:suppressAutoHyphens w:val="true"/>
        <w:bidi w:val="0"/>
        <w:spacing w:lineRule="auto" w:line="276" w:before="120" w:after="120"/>
        <w:ind w:left="0" w:right="0" w:hanging="0"/>
        <w:jc w:val="both"/>
        <w:rPr>
          <w:rFonts w:ascii="Arial" w:hAnsi="Arial"/>
          <w:sz w:val="20"/>
          <w:szCs w:val="20"/>
        </w:rPr>
      </w:pPr>
      <w:r>
        <w:rPr>
          <w:rFonts w:cs="Times New Roman" w:ascii="Arial" w:hAnsi="Arial"/>
          <w:sz w:val="20"/>
          <w:szCs w:val="20"/>
        </w:rPr>
        <w:t>Incumbirá à CONTRATANTE providenciar a publicação deste instrumento, por extrato, no Diário Oficial da União, no prazo previsto na Lei nº 8.666, de 1993.</w:t>
      </w:r>
    </w:p>
    <w:p>
      <w:pPr>
        <w:pStyle w:val="Nivel11"/>
        <w:keepNext/>
        <w:keepLines/>
        <w:widowControl/>
        <w:numPr>
          <w:ilvl w:val="0"/>
          <w:numId w:val="23"/>
        </w:numPr>
        <w:suppressAutoHyphens w:val="true"/>
        <w:bidi w:val="0"/>
        <w:spacing w:lineRule="auto" w:line="276" w:before="480" w:after="0"/>
        <w:ind w:left="340" w:right="0" w:hanging="850"/>
        <w:jc w:val="both"/>
        <w:rPr>
          <w:rFonts w:ascii="Arial" w:hAnsi="Arial"/>
          <w:sz w:val="20"/>
          <w:szCs w:val="20"/>
        </w:rPr>
      </w:pPr>
      <w:r>
        <w:rPr>
          <w:sz w:val="20"/>
          <w:szCs w:val="20"/>
        </w:rPr>
        <w:t>CLÁUSULA DÉCIMA SEXTA – FORO</w:t>
      </w:r>
    </w:p>
    <w:p>
      <w:pPr>
        <w:pStyle w:val="Normal"/>
        <w:widowControl/>
        <w:numPr>
          <w:ilvl w:val="1"/>
          <w:numId w:val="23"/>
        </w:numPr>
        <w:suppressAutoHyphens w:val="true"/>
        <w:bidi w:val="0"/>
        <w:spacing w:lineRule="auto" w:line="276" w:before="120" w:after="120"/>
        <w:ind w:left="737" w:right="0" w:hanging="737"/>
        <w:jc w:val="both"/>
        <w:rPr>
          <w:rFonts w:ascii="Arial" w:hAnsi="Arial"/>
          <w:sz w:val="20"/>
          <w:szCs w:val="20"/>
        </w:rPr>
      </w:pPr>
      <w:r>
        <w:rPr>
          <w:rFonts w:cs="Times New Roman" w:ascii="Arial" w:hAnsi="Arial"/>
          <w:sz w:val="20"/>
          <w:szCs w:val="20"/>
        </w:rPr>
        <w:t xml:space="preserve">O Foro para solucionar os litígios que decorrerem da execução deste Termo de Contrato será o da </w:t>
      </w:r>
      <w:r>
        <w:rPr>
          <w:rFonts w:cs="Times New Roman" w:ascii="Arial" w:hAnsi="Arial"/>
          <w:color w:val="000000"/>
          <w:sz w:val="20"/>
          <w:szCs w:val="20"/>
        </w:rPr>
        <w:t>Seção Judiciária</w:t>
      </w:r>
      <w:r>
        <w:rPr>
          <w:rFonts w:cs="Times New Roman" w:ascii="Arial" w:hAnsi="Arial"/>
          <w:color w:val="FF0000"/>
          <w:sz w:val="20"/>
          <w:szCs w:val="20"/>
        </w:rPr>
        <w:t xml:space="preserve"> </w:t>
      </w:r>
      <w:r>
        <w:rPr>
          <w:rFonts w:cs="Times New Roman" w:ascii="Arial" w:hAnsi="Arial"/>
          <w:color w:val="000000"/>
          <w:sz w:val="20"/>
          <w:szCs w:val="20"/>
        </w:rPr>
        <w:t>de</w:t>
      </w:r>
      <w:r>
        <w:rPr>
          <w:rFonts w:cs="Times New Roman" w:ascii="Arial" w:hAnsi="Arial"/>
          <w:color w:val="FF0000"/>
          <w:sz w:val="20"/>
          <w:szCs w:val="20"/>
        </w:rPr>
        <w:t xml:space="preserve"> </w:t>
      </w:r>
      <w:r>
        <w:rPr>
          <w:rFonts w:cs="Calibri" w:ascii="Arial" w:hAnsi="Arial"/>
          <w:color w:val="000000"/>
          <w:sz w:val="20"/>
          <w:szCs w:val="20"/>
        </w:rPr>
        <w:t>Pelotas</w:t>
      </w:r>
      <w:r>
        <w:rPr>
          <w:rFonts w:cs="Times New Roman" w:ascii="Arial" w:hAnsi="Arial"/>
          <w:sz w:val="20"/>
          <w:szCs w:val="20"/>
        </w:rPr>
        <w:t xml:space="preserve"> - Justiça Federal.</w:t>
      </w:r>
    </w:p>
    <w:p>
      <w:pPr>
        <w:pStyle w:val="Normal"/>
        <w:spacing w:lineRule="auto" w:line="360" w:before="0" w:after="120"/>
        <w:ind w:left="0" w:right="0" w:firstLine="540"/>
        <w:jc w:val="both"/>
        <w:rPr>
          <w:rFonts w:ascii="Arial" w:hAnsi="Arial" w:cs="Times New Roman"/>
          <w:sz w:val="20"/>
          <w:szCs w:val="20"/>
        </w:rPr>
      </w:pPr>
      <w:r>
        <w:rPr>
          <w:rFonts w:cs="Times New Roman" w:ascii="Arial" w:hAnsi="Arial"/>
          <w:sz w:val="20"/>
          <w:szCs w:val="20"/>
        </w:rPr>
      </w:r>
    </w:p>
    <w:p>
      <w:pPr>
        <w:pStyle w:val="Normal"/>
        <w:spacing w:lineRule="auto" w:line="276" w:before="120" w:after="120"/>
        <w:jc w:val="both"/>
        <w:rPr>
          <w:rFonts w:ascii="Arial" w:hAnsi="Arial"/>
          <w:sz w:val="20"/>
          <w:szCs w:val="20"/>
        </w:rPr>
      </w:pPr>
      <w:r>
        <w:rPr>
          <w:rFonts w:cs="Times New Roman" w:ascii="Arial" w:hAnsi="Arial"/>
          <w:sz w:val="20"/>
          <w:szCs w:val="20"/>
        </w:rPr>
        <w:t xml:space="preserve">Para firmeza e validade do pactuado, o presente Termo de Contrato foi lavrado em 3 (três) vias de igual teor, que, depois de lido e achado em ordem, vai assinado pelos contraentes. </w:t>
      </w:r>
    </w:p>
    <w:p>
      <w:pPr>
        <w:pStyle w:val="Normal"/>
        <w:spacing w:lineRule="auto" w:line="276" w:before="120" w:after="120"/>
        <w:jc w:val="both"/>
        <w:rPr>
          <w:rFonts w:ascii="Arial" w:hAnsi="Arial" w:cs="Times New Roman"/>
          <w:sz w:val="20"/>
          <w:szCs w:val="20"/>
        </w:rPr>
      </w:pPr>
      <w:r>
        <w:rPr>
          <w:rFonts w:cs="Times New Roman" w:ascii="Arial" w:hAnsi="Arial"/>
          <w:sz w:val="20"/>
          <w:szCs w:val="20"/>
        </w:rPr>
      </w:r>
    </w:p>
    <w:p>
      <w:pPr>
        <w:pStyle w:val="Normal"/>
        <w:spacing w:lineRule="auto" w:line="360" w:before="0" w:after="120"/>
        <w:ind w:left="0" w:right="0" w:hanging="0"/>
        <w:jc w:val="both"/>
        <w:rPr>
          <w:rFonts w:ascii="Arial" w:hAnsi="Arial"/>
          <w:sz w:val="20"/>
          <w:szCs w:val="20"/>
        </w:rPr>
      </w:pPr>
      <w:r>
        <w:rPr>
          <w:rFonts w:cs="Times New Roman" w:ascii="Arial" w:hAnsi="Arial"/>
          <w:sz w:val="20"/>
          <w:szCs w:val="20"/>
        </w:rPr>
        <w:t>Camaquã,  XX de XXXXXXXXX de 2019.</w:t>
      </w:r>
    </w:p>
    <w:p>
      <w:pPr>
        <w:pStyle w:val="Normal"/>
        <w:spacing w:before="0" w:after="120"/>
        <w:jc w:val="both"/>
        <w:rPr>
          <w:rFonts w:ascii="Arial" w:hAnsi="Arial" w:cs="Times New Roman"/>
          <w:bCs/>
          <w:sz w:val="20"/>
          <w:szCs w:val="20"/>
        </w:rPr>
      </w:pPr>
      <w:r>
        <w:rPr>
          <w:rFonts w:cs="Times New Roman" w:ascii="Arial" w:hAnsi="Arial"/>
          <w:bCs/>
          <w:sz w:val="20"/>
          <w:szCs w:val="20"/>
        </w:rPr>
      </w:r>
    </w:p>
    <w:p>
      <w:pPr>
        <w:pStyle w:val="Normal"/>
        <w:spacing w:before="0" w:after="120"/>
        <w:jc w:val="both"/>
        <w:rPr>
          <w:rFonts w:ascii="Arial" w:hAnsi="Arial" w:cs="Times New Roman"/>
          <w:bCs/>
          <w:sz w:val="20"/>
          <w:szCs w:val="20"/>
        </w:rPr>
      </w:pPr>
      <w:r>
        <w:rPr>
          <w:rFonts w:cs="Times New Roman" w:ascii="Arial" w:hAnsi="Arial"/>
          <w:bCs/>
          <w:sz w:val="20"/>
          <w:szCs w:val="20"/>
        </w:rPr>
      </w:r>
    </w:p>
    <w:p>
      <w:pPr>
        <w:pStyle w:val="Normal"/>
        <w:spacing w:before="0" w:after="120"/>
        <w:jc w:val="both"/>
        <w:rPr>
          <w:rFonts w:ascii="Arial" w:hAnsi="Arial" w:cs="Times New Roman"/>
          <w:bCs/>
          <w:sz w:val="20"/>
          <w:szCs w:val="20"/>
        </w:rPr>
      </w:pPr>
      <w:r>
        <w:rPr>
          <w:rFonts w:cs="Times New Roman" w:ascii="Arial" w:hAnsi="Arial"/>
          <w:bCs/>
          <w:sz w:val="20"/>
          <w:szCs w:val="20"/>
        </w:rPr>
      </w:r>
    </w:p>
    <w:tbl>
      <w:tblPr>
        <w:tblW w:w="9655" w:type="dxa"/>
        <w:jc w:val="left"/>
        <w:tblInd w:w="0" w:type="dxa"/>
        <w:tblBorders/>
        <w:tblCellMar>
          <w:top w:w="0" w:type="dxa"/>
          <w:left w:w="70" w:type="dxa"/>
          <w:bottom w:w="0" w:type="dxa"/>
          <w:right w:w="70" w:type="dxa"/>
        </w:tblCellMar>
      </w:tblPr>
      <w:tblGrid>
        <w:gridCol w:w="3969"/>
        <w:gridCol w:w="778"/>
        <w:gridCol w:w="4907"/>
      </w:tblGrid>
      <w:tr>
        <w:trPr/>
        <w:tc>
          <w:tcPr>
            <w:tcW w:w="3969" w:type="dxa"/>
            <w:tcBorders/>
            <w:shd w:fill="FFFFFF" w:val="clear"/>
          </w:tcPr>
          <w:p>
            <w:pPr>
              <w:pStyle w:val="Normal"/>
              <w:snapToGrid w:val="false"/>
              <w:jc w:val="center"/>
              <w:rPr>
                <w:rFonts w:ascii="Arial" w:hAnsi="Arial"/>
                <w:sz w:val="20"/>
                <w:szCs w:val="20"/>
              </w:rPr>
            </w:pPr>
            <w:r>
              <w:rPr>
                <w:rFonts w:cs="Calibri" w:ascii="Arial" w:hAnsi="Arial"/>
                <w:color w:val="000000"/>
                <w:sz w:val="20"/>
                <w:szCs w:val="20"/>
              </w:rPr>
              <w:t>__________________________________</w:t>
            </w:r>
          </w:p>
        </w:tc>
        <w:tc>
          <w:tcPr>
            <w:tcW w:w="5685" w:type="dxa"/>
            <w:gridSpan w:val="2"/>
            <w:tcBorders/>
            <w:shd w:fill="FFFFFF" w:val="clear"/>
          </w:tcPr>
          <w:p>
            <w:pPr>
              <w:pStyle w:val="Normal"/>
              <w:snapToGrid w:val="false"/>
              <w:jc w:val="center"/>
              <w:rPr>
                <w:rFonts w:ascii="Arial" w:hAnsi="Arial"/>
                <w:sz w:val="20"/>
                <w:szCs w:val="20"/>
              </w:rPr>
            </w:pPr>
            <w:r>
              <w:rPr>
                <w:rFonts w:cs="Calibri" w:ascii="Arial" w:hAnsi="Arial"/>
                <w:color w:val="000000"/>
                <w:sz w:val="20"/>
                <w:szCs w:val="20"/>
              </w:rPr>
              <w:t>_________________________________</w:t>
            </w:r>
          </w:p>
        </w:tc>
      </w:tr>
      <w:tr>
        <w:trPr/>
        <w:tc>
          <w:tcPr>
            <w:tcW w:w="3969" w:type="dxa"/>
            <w:tcBorders/>
            <w:shd w:fill="FFFFFF" w:val="clear"/>
          </w:tcPr>
          <w:p>
            <w:pPr>
              <w:pStyle w:val="Normal"/>
              <w:suppressAutoHyphens w:val="false"/>
              <w:spacing w:lineRule="auto" w:line="240" w:before="43" w:after="0"/>
              <w:jc w:val="center"/>
              <w:rPr>
                <w:rFonts w:ascii="Arial" w:hAnsi="Arial"/>
                <w:sz w:val="20"/>
                <w:szCs w:val="20"/>
              </w:rPr>
            </w:pPr>
            <w:r>
              <w:rPr>
                <w:rFonts w:cs="Calibri" w:ascii="Arial" w:hAnsi="Arial"/>
                <w:color w:val="000000"/>
                <w:sz w:val="20"/>
                <w:szCs w:val="20"/>
                <w:lang w:eastAsia="pt-BR"/>
              </w:rPr>
              <w:t>Tales Emilio Costa Amorim</w:t>
            </w:r>
          </w:p>
          <w:p>
            <w:pPr>
              <w:pStyle w:val="Normal"/>
              <w:suppressAutoHyphens w:val="false"/>
              <w:spacing w:lineRule="auto" w:line="240" w:before="43" w:after="0"/>
              <w:jc w:val="center"/>
              <w:rPr>
                <w:rFonts w:ascii="Arial" w:hAnsi="Arial"/>
                <w:sz w:val="20"/>
                <w:szCs w:val="20"/>
              </w:rPr>
            </w:pPr>
            <w:r>
              <w:rPr>
                <w:rFonts w:cs="Calibri" w:ascii="Arial" w:hAnsi="Arial"/>
                <w:color w:val="000000"/>
                <w:sz w:val="20"/>
                <w:szCs w:val="20"/>
                <w:lang w:eastAsia="pt-BR"/>
              </w:rPr>
              <w:t>IFSul Campus Camaquã</w:t>
            </w:r>
          </w:p>
          <w:p>
            <w:pPr>
              <w:pStyle w:val="Normal"/>
              <w:keepNext/>
              <w:numPr>
                <w:ilvl w:val="0"/>
                <w:numId w:val="0"/>
              </w:numPr>
              <w:snapToGrid w:val="false"/>
              <w:spacing w:lineRule="auto" w:line="240"/>
              <w:ind w:left="0" w:right="0" w:hanging="0"/>
              <w:jc w:val="center"/>
              <w:rPr>
                <w:rFonts w:ascii="Arial" w:hAnsi="Arial"/>
                <w:sz w:val="20"/>
                <w:szCs w:val="20"/>
              </w:rPr>
            </w:pPr>
            <w:r>
              <w:rPr>
                <w:rFonts w:cs="Calibri" w:ascii="Arial" w:hAnsi="Arial"/>
                <w:b/>
                <w:color w:val="000000"/>
                <w:sz w:val="20"/>
                <w:szCs w:val="20"/>
              </w:rPr>
              <w:t>Contratante</w:t>
            </w:r>
          </w:p>
        </w:tc>
        <w:tc>
          <w:tcPr>
            <w:tcW w:w="5685" w:type="dxa"/>
            <w:gridSpan w:val="2"/>
            <w:tcBorders/>
            <w:shd w:fill="FFFFFF" w:val="clear"/>
          </w:tcPr>
          <w:p>
            <w:pPr>
              <w:pStyle w:val="Normal"/>
              <w:snapToGrid w:val="false"/>
              <w:jc w:val="center"/>
              <w:rPr>
                <w:rFonts w:ascii="Arial" w:hAnsi="Arial"/>
                <w:sz w:val="20"/>
                <w:szCs w:val="20"/>
              </w:rPr>
            </w:pPr>
            <w:r>
              <w:rPr>
                <w:rFonts w:cs="Calibri" w:ascii="Arial" w:hAnsi="Arial"/>
                <w:color w:val="000000"/>
                <w:sz w:val="20"/>
                <w:szCs w:val="20"/>
              </w:rPr>
              <w:t>XXXXXXXXXXXXXXXX</w:t>
            </w:r>
          </w:p>
          <w:p>
            <w:pPr>
              <w:pStyle w:val="Normal"/>
              <w:snapToGrid w:val="false"/>
              <w:jc w:val="center"/>
              <w:rPr>
                <w:rFonts w:ascii="Arial" w:hAnsi="Arial"/>
                <w:sz w:val="20"/>
                <w:szCs w:val="20"/>
              </w:rPr>
            </w:pPr>
            <w:r>
              <w:rPr>
                <w:rFonts w:cs="Calibri" w:ascii="Arial" w:hAnsi="Arial"/>
                <w:color w:val="000000"/>
                <w:sz w:val="20"/>
                <w:szCs w:val="20"/>
              </w:rPr>
              <w:t>XXXXXXXXXXXXX</w:t>
            </w:r>
          </w:p>
          <w:p>
            <w:pPr>
              <w:pStyle w:val="Normal"/>
              <w:snapToGrid w:val="false"/>
              <w:jc w:val="center"/>
              <w:rPr>
                <w:rFonts w:ascii="Arial" w:hAnsi="Arial"/>
                <w:sz w:val="20"/>
                <w:szCs w:val="20"/>
              </w:rPr>
            </w:pPr>
            <w:r>
              <w:rPr>
                <w:rFonts w:cs="Calibri" w:ascii="Arial" w:hAnsi="Arial"/>
                <w:b/>
                <w:color w:val="000000"/>
                <w:sz w:val="20"/>
                <w:szCs w:val="20"/>
              </w:rPr>
              <w:t>Contratada</w:t>
            </w:r>
          </w:p>
        </w:tc>
      </w:tr>
      <w:tr>
        <w:trPr>
          <w:trHeight w:val="375" w:hRule="atLeast"/>
        </w:trPr>
        <w:tc>
          <w:tcPr>
            <w:tcW w:w="9654" w:type="dxa"/>
            <w:gridSpan w:val="3"/>
            <w:tcBorders/>
            <w:shd w:fill="FFFFFF" w:val="clear"/>
          </w:tcPr>
          <w:p>
            <w:pPr>
              <w:pStyle w:val="Normal"/>
              <w:snapToGrid w:val="false"/>
              <w:jc w:val="both"/>
              <w:rPr>
                <w:rFonts w:ascii="Arial" w:hAnsi="Arial" w:cs="Calibri"/>
                <w:color w:val="000000"/>
                <w:sz w:val="20"/>
                <w:szCs w:val="20"/>
              </w:rPr>
            </w:pPr>
            <w:r>
              <w:rPr>
                <w:rFonts w:cs="Calibri" w:ascii="Arial" w:hAnsi="Arial"/>
                <w:color w:val="000000"/>
                <w:sz w:val="20"/>
                <w:szCs w:val="20"/>
              </w:rPr>
            </w:r>
          </w:p>
          <w:p>
            <w:pPr>
              <w:pStyle w:val="Normal"/>
              <w:jc w:val="both"/>
              <w:rPr>
                <w:rFonts w:ascii="Arial" w:hAnsi="Arial" w:cs="Calibri"/>
                <w:color w:val="000000"/>
                <w:sz w:val="20"/>
                <w:szCs w:val="20"/>
              </w:rPr>
            </w:pPr>
            <w:r>
              <w:rPr>
                <w:rFonts w:cs="Calibri" w:ascii="Arial" w:hAnsi="Arial"/>
                <w:color w:val="000000"/>
                <w:sz w:val="20"/>
                <w:szCs w:val="20"/>
              </w:rPr>
            </w:r>
          </w:p>
          <w:p>
            <w:pPr>
              <w:pStyle w:val="Normal"/>
              <w:jc w:val="both"/>
              <w:rPr>
                <w:rFonts w:ascii="Arial" w:hAnsi="Arial" w:cs="Calibri"/>
                <w:color w:val="000000"/>
                <w:sz w:val="20"/>
                <w:szCs w:val="20"/>
              </w:rPr>
            </w:pPr>
            <w:r>
              <w:rPr>
                <w:rFonts w:cs="Calibri" w:ascii="Arial" w:hAnsi="Arial"/>
                <w:color w:val="000000"/>
                <w:sz w:val="20"/>
                <w:szCs w:val="20"/>
              </w:rPr>
            </w:r>
          </w:p>
          <w:p>
            <w:pPr>
              <w:pStyle w:val="Normal"/>
              <w:jc w:val="both"/>
              <w:rPr>
                <w:rFonts w:ascii="Arial" w:hAnsi="Arial"/>
                <w:sz w:val="20"/>
                <w:szCs w:val="20"/>
              </w:rPr>
            </w:pPr>
            <w:r>
              <w:rPr>
                <w:rFonts w:cs="Calibri" w:ascii="Arial" w:hAnsi="Arial"/>
                <w:color w:val="000000"/>
                <w:sz w:val="20"/>
                <w:szCs w:val="20"/>
              </w:rPr>
              <w:t>TESTEMUNHAS:</w:t>
            </w:r>
          </w:p>
        </w:tc>
      </w:tr>
      <w:tr>
        <w:trPr/>
        <w:tc>
          <w:tcPr>
            <w:tcW w:w="4747" w:type="dxa"/>
            <w:gridSpan w:val="2"/>
            <w:tcBorders/>
            <w:shd w:fill="FFFFFF" w:val="clear"/>
          </w:tcPr>
          <w:p>
            <w:pPr>
              <w:pStyle w:val="Normal"/>
              <w:snapToGrid w:val="false"/>
              <w:rPr>
                <w:rFonts w:ascii="Arial" w:hAnsi="Arial" w:cs="Calibri"/>
                <w:color w:val="000000"/>
                <w:sz w:val="20"/>
                <w:szCs w:val="20"/>
              </w:rPr>
            </w:pPr>
            <w:r>
              <w:rPr>
                <w:rFonts w:cs="Calibri" w:ascii="Arial" w:hAnsi="Arial"/>
                <w:color w:val="000000"/>
                <w:sz w:val="20"/>
                <w:szCs w:val="20"/>
              </w:rPr>
            </w:r>
          </w:p>
          <w:p>
            <w:pPr>
              <w:pStyle w:val="Normal"/>
              <w:snapToGrid w:val="false"/>
              <w:rPr>
                <w:rFonts w:ascii="Arial" w:hAnsi="Arial"/>
                <w:sz w:val="20"/>
                <w:szCs w:val="20"/>
              </w:rPr>
            </w:pPr>
            <w:r>
              <w:rPr>
                <w:rFonts w:cs="Calibri" w:ascii="Arial" w:hAnsi="Arial"/>
                <w:color w:val="000000"/>
                <w:sz w:val="20"/>
                <w:szCs w:val="20"/>
              </w:rPr>
              <w:t>__________________________________</w:t>
            </w:r>
          </w:p>
        </w:tc>
        <w:tc>
          <w:tcPr>
            <w:tcW w:w="4907" w:type="dxa"/>
            <w:tcBorders/>
            <w:shd w:fill="FFFFFF" w:val="clear"/>
          </w:tcPr>
          <w:p>
            <w:pPr>
              <w:pStyle w:val="Normal"/>
              <w:snapToGrid w:val="false"/>
              <w:jc w:val="center"/>
              <w:rPr>
                <w:rFonts w:ascii="Arial" w:hAnsi="Arial" w:cs="Calibri"/>
                <w:color w:val="000000"/>
                <w:sz w:val="20"/>
                <w:szCs w:val="20"/>
              </w:rPr>
            </w:pPr>
            <w:r>
              <w:rPr>
                <w:rFonts w:cs="Calibri" w:ascii="Arial" w:hAnsi="Arial"/>
                <w:color w:val="000000"/>
                <w:sz w:val="20"/>
                <w:szCs w:val="20"/>
              </w:rPr>
            </w:r>
          </w:p>
          <w:p>
            <w:pPr>
              <w:pStyle w:val="Normal"/>
              <w:snapToGrid w:val="false"/>
              <w:jc w:val="center"/>
              <w:rPr>
                <w:rFonts w:ascii="Arial" w:hAnsi="Arial"/>
                <w:sz w:val="20"/>
                <w:szCs w:val="20"/>
              </w:rPr>
            </w:pPr>
            <w:r>
              <w:rPr>
                <w:rFonts w:cs="Calibri" w:ascii="Arial" w:hAnsi="Arial"/>
                <w:color w:val="000000"/>
                <w:sz w:val="20"/>
                <w:szCs w:val="20"/>
              </w:rPr>
              <w:t>_________________________________________</w:t>
            </w:r>
          </w:p>
        </w:tc>
      </w:tr>
      <w:tr>
        <w:trPr/>
        <w:tc>
          <w:tcPr>
            <w:tcW w:w="4747" w:type="dxa"/>
            <w:gridSpan w:val="2"/>
            <w:tcBorders/>
            <w:shd w:fill="FFFFFF" w:val="clear"/>
          </w:tcPr>
          <w:p>
            <w:pPr>
              <w:pStyle w:val="Normal"/>
              <w:snapToGrid w:val="false"/>
              <w:jc w:val="both"/>
              <w:rPr>
                <w:rFonts w:ascii="Arial" w:hAnsi="Arial" w:cs="Calibri"/>
                <w:color w:val="000000"/>
                <w:sz w:val="20"/>
                <w:szCs w:val="20"/>
              </w:rPr>
            </w:pPr>
            <w:r>
              <w:rPr>
                <w:rFonts w:cs="Calibri" w:ascii="Arial" w:hAnsi="Arial"/>
                <w:color w:val="000000"/>
                <w:sz w:val="20"/>
                <w:szCs w:val="20"/>
              </w:rPr>
            </w:r>
          </w:p>
          <w:p>
            <w:pPr>
              <w:pStyle w:val="Normal"/>
              <w:snapToGrid w:val="false"/>
              <w:jc w:val="both"/>
              <w:rPr>
                <w:rFonts w:ascii="Arial" w:hAnsi="Arial"/>
                <w:sz w:val="20"/>
                <w:szCs w:val="20"/>
              </w:rPr>
            </w:pPr>
            <w:r>
              <w:rPr>
                <w:rFonts w:cs="Calibri" w:ascii="Arial" w:hAnsi="Arial"/>
                <w:color w:val="000000"/>
                <w:sz w:val="20"/>
                <w:szCs w:val="20"/>
              </w:rPr>
              <w:t>NOME: XXXXXXXXXXXXXX</w:t>
            </w:r>
          </w:p>
        </w:tc>
        <w:tc>
          <w:tcPr>
            <w:tcW w:w="4907" w:type="dxa"/>
            <w:tcBorders/>
            <w:shd w:fill="FFFFFF" w:val="clear"/>
          </w:tcPr>
          <w:p>
            <w:pPr>
              <w:pStyle w:val="Normal"/>
              <w:snapToGrid w:val="false"/>
              <w:jc w:val="both"/>
              <w:rPr>
                <w:rFonts w:ascii="Arial" w:hAnsi="Arial" w:cs="Calibri"/>
                <w:color w:val="000000"/>
                <w:sz w:val="20"/>
                <w:szCs w:val="20"/>
              </w:rPr>
            </w:pPr>
            <w:r>
              <w:rPr>
                <w:rFonts w:cs="Calibri" w:ascii="Arial" w:hAnsi="Arial"/>
                <w:color w:val="000000"/>
                <w:sz w:val="20"/>
                <w:szCs w:val="20"/>
              </w:rPr>
            </w:r>
          </w:p>
          <w:p>
            <w:pPr>
              <w:pStyle w:val="Normal"/>
              <w:snapToGrid w:val="false"/>
              <w:jc w:val="both"/>
              <w:rPr>
                <w:rFonts w:ascii="Arial" w:hAnsi="Arial"/>
                <w:sz w:val="20"/>
                <w:szCs w:val="20"/>
              </w:rPr>
            </w:pPr>
            <w:r>
              <w:rPr>
                <w:rFonts w:cs="Calibri" w:ascii="Arial" w:hAnsi="Arial"/>
                <w:color w:val="000000"/>
                <w:sz w:val="20"/>
                <w:szCs w:val="20"/>
              </w:rPr>
              <w:t>NOME: XXXXXXXXXXXXXXX</w:t>
            </w:r>
          </w:p>
        </w:tc>
      </w:tr>
      <w:tr>
        <w:trPr/>
        <w:tc>
          <w:tcPr>
            <w:tcW w:w="4747" w:type="dxa"/>
            <w:gridSpan w:val="2"/>
            <w:tcBorders/>
            <w:shd w:fill="FFFFFF" w:val="clear"/>
          </w:tcPr>
          <w:p>
            <w:pPr>
              <w:pStyle w:val="Normal"/>
              <w:snapToGrid w:val="false"/>
              <w:jc w:val="both"/>
              <w:rPr>
                <w:rFonts w:ascii="Arial" w:hAnsi="Arial"/>
                <w:sz w:val="20"/>
                <w:szCs w:val="20"/>
              </w:rPr>
            </w:pPr>
            <w:r>
              <w:rPr>
                <w:rFonts w:cs="Calibri" w:ascii="Arial" w:hAnsi="Arial"/>
                <w:color w:val="000000"/>
                <w:sz w:val="20"/>
                <w:szCs w:val="20"/>
              </w:rPr>
              <w:t>CPF: XXXXXXXXXXXX</w:t>
            </w:r>
          </w:p>
        </w:tc>
        <w:tc>
          <w:tcPr>
            <w:tcW w:w="4907" w:type="dxa"/>
            <w:tcBorders/>
            <w:shd w:fill="FFFFFF" w:val="clear"/>
          </w:tcPr>
          <w:p>
            <w:pPr>
              <w:pStyle w:val="Normal"/>
              <w:snapToGrid w:val="false"/>
              <w:jc w:val="both"/>
              <w:rPr>
                <w:rFonts w:ascii="Arial" w:hAnsi="Arial"/>
                <w:sz w:val="20"/>
                <w:szCs w:val="20"/>
              </w:rPr>
            </w:pPr>
            <w:r>
              <w:rPr>
                <w:rFonts w:cs="Calibri" w:ascii="Arial" w:hAnsi="Arial"/>
                <w:color w:val="000000"/>
                <w:sz w:val="20"/>
                <w:szCs w:val="20"/>
              </w:rPr>
              <w:t>CPF:  XXXXXXXXXXXX</w:t>
            </w:r>
          </w:p>
        </w:tc>
      </w:tr>
    </w:tbl>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276" w:before="120" w:after="120"/>
        <w:jc w:val="both"/>
        <w:rPr>
          <w:rFonts w:ascii="Arial" w:hAnsi="Arial" w:eastAsia="Arial" w:cs="Arial"/>
          <w:b/>
          <w:b/>
          <w:bCs/>
          <w:color w:val="000000"/>
          <w:sz w:val="20"/>
          <w:szCs w:val="20"/>
        </w:rPr>
      </w:pPr>
      <w:r>
        <w:rPr>
          <w:rFonts w:eastAsia="Arial" w:cs="Arial" w:ascii="Arial" w:hAnsi="Arial"/>
          <w:b/>
          <w:bCs/>
          <w:color w:val="000000"/>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Corpodetexto"/>
        <w:jc w:val="both"/>
        <w:rPr>
          <w:rFonts w:ascii="Arial" w:hAnsi="Arial"/>
          <w:b w:val="false"/>
          <w:b w:val="false"/>
          <w:bCs w:val="false"/>
          <w:i w:val="false"/>
          <w:i w:val="false"/>
          <w:iCs w:val="false"/>
          <w:sz w:val="20"/>
          <w:szCs w:val="20"/>
        </w:rPr>
      </w:pPr>
      <w:r>
        <w:rPr>
          <w:rFonts w:ascii="Arial" w:hAnsi="Arial"/>
          <w:b w:val="false"/>
          <w:bCs w:val="false"/>
          <w:i w:val="false"/>
          <w:iCs w:val="false"/>
          <w:sz w:val="20"/>
          <w:szCs w:val="20"/>
        </w:rPr>
      </w:r>
    </w:p>
    <w:p>
      <w:pPr>
        <w:pStyle w:val="Normal"/>
        <w:jc w:val="center"/>
        <w:rPr>
          <w:rFonts w:ascii="Arial" w:hAnsi="Arial" w:cs="Arial"/>
          <w:b/>
          <w:b/>
          <w:sz w:val="20"/>
          <w:szCs w:val="20"/>
        </w:rPr>
      </w:pPr>
      <w:r>
        <w:rPr>
          <w:rFonts w:cs="Arial" w:ascii="Arial" w:hAnsi="Arial"/>
          <w:b/>
          <w:sz w:val="20"/>
          <w:szCs w:val="20"/>
        </w:rPr>
        <w:t>ANEXO IV</w:t>
      </w:r>
    </w:p>
    <w:p>
      <w:pPr>
        <w:pStyle w:val="Ttulo3"/>
        <w:jc w:val="center"/>
        <w:rPr>
          <w:rFonts w:ascii="Arial" w:hAnsi="Arial" w:cs="Arial"/>
          <w:b/>
          <w:b/>
          <w:color w:val="000000"/>
          <w:sz w:val="20"/>
          <w:szCs w:val="20"/>
        </w:rPr>
      </w:pPr>
      <w:r>
        <w:rPr>
          <w:rFonts w:cs="Arial" w:ascii="Arial" w:hAnsi="Arial"/>
          <w:b/>
          <w:color w:val="000000"/>
          <w:sz w:val="20"/>
          <w:szCs w:val="20"/>
        </w:rPr>
      </w:r>
    </w:p>
    <w:p>
      <w:pPr>
        <w:pStyle w:val="Normal"/>
        <w:jc w:val="center"/>
        <w:rPr>
          <w:rFonts w:ascii="Arial" w:hAnsi="Arial" w:cs="Arial"/>
          <w:b/>
          <w:b/>
          <w:color w:val="000000"/>
          <w:sz w:val="20"/>
          <w:szCs w:val="20"/>
        </w:rPr>
      </w:pPr>
      <w:r>
        <w:rPr>
          <w:rFonts w:cs="Arial" w:ascii="Arial" w:hAnsi="Arial"/>
          <w:b/>
          <w:color w:val="000000"/>
          <w:sz w:val="20"/>
          <w:szCs w:val="20"/>
        </w:rPr>
      </w:r>
    </w:p>
    <w:p>
      <w:pPr>
        <w:pStyle w:val="Normal"/>
        <w:tabs>
          <w:tab w:val="left" w:pos="8222" w:leader="none"/>
        </w:tabs>
        <w:jc w:val="center"/>
        <w:rPr>
          <w:rFonts w:ascii="Arial" w:hAnsi="Arial" w:cs="Arial"/>
          <w:b/>
          <w:b/>
          <w:color w:val="000000"/>
          <w:sz w:val="20"/>
          <w:szCs w:val="20"/>
        </w:rPr>
      </w:pPr>
      <w:r>
        <w:rPr>
          <w:rFonts w:cs="Arial" w:ascii="Arial" w:hAnsi="Arial"/>
          <w:b/>
          <w:color w:val="000000"/>
          <w:sz w:val="20"/>
          <w:szCs w:val="20"/>
        </w:rPr>
        <w:t>DECLARAÇÕES</w:t>
      </w:r>
    </w:p>
    <w:p>
      <w:pPr>
        <w:pStyle w:val="Normal"/>
        <w:tabs>
          <w:tab w:val="left" w:pos="8222" w:leader="none"/>
        </w:tabs>
        <w:jc w:val="center"/>
        <w:rPr>
          <w:rFonts w:ascii="Arial" w:hAnsi="Arial" w:cs="Arial"/>
          <w:b/>
          <w:b/>
          <w:color w:val="000000"/>
          <w:sz w:val="20"/>
          <w:szCs w:val="20"/>
        </w:rPr>
      </w:pPr>
      <w:r>
        <w:rPr>
          <w:rFonts w:cs="Arial" w:ascii="Arial" w:hAnsi="Arial"/>
          <w:b/>
          <w:color w:val="000000"/>
          <w:sz w:val="20"/>
          <w:szCs w:val="20"/>
        </w:rPr>
      </w:r>
    </w:p>
    <w:p>
      <w:pPr>
        <w:pStyle w:val="Corpodetexto"/>
        <w:tabs>
          <w:tab w:val="left" w:pos="8222" w:leader="none"/>
        </w:tabs>
        <w:jc w:val="center"/>
        <w:rPr>
          <w:rFonts w:ascii="Arial" w:hAnsi="Arial" w:cs="Arial"/>
          <w:b/>
          <w:b/>
          <w:color w:val="000000"/>
          <w:sz w:val="20"/>
          <w:szCs w:val="20"/>
        </w:rPr>
      </w:pPr>
      <w:r>
        <w:rPr>
          <w:rFonts w:cs="Arial" w:ascii="Arial" w:hAnsi="Arial"/>
          <w:b/>
          <w:color w:val="000000"/>
          <w:sz w:val="20"/>
          <w:szCs w:val="20"/>
        </w:rPr>
      </w:r>
    </w:p>
    <w:p>
      <w:pPr>
        <w:pStyle w:val="Corpodetexto"/>
        <w:tabs>
          <w:tab w:val="left" w:pos="8222" w:leader="none"/>
        </w:tabs>
        <w:rPr>
          <w:rFonts w:ascii="Arial" w:hAnsi="Arial" w:cs="Arial"/>
          <w:color w:val="000000"/>
          <w:sz w:val="20"/>
          <w:szCs w:val="20"/>
        </w:rPr>
      </w:pPr>
      <w:r>
        <w:rPr>
          <w:rFonts w:cs="Arial" w:ascii="Arial" w:hAnsi="Arial"/>
          <w:color w:val="000000"/>
          <w:sz w:val="20"/>
          <w:szCs w:val="20"/>
        </w:rPr>
        <w:t>Ao Instituto Federal de Educação, Ciência e Tecnologia Sul-rio-grandense</w:t>
      </w:r>
    </w:p>
    <w:p>
      <w:pPr>
        <w:pStyle w:val="Normal"/>
        <w:tabs>
          <w:tab w:val="left" w:pos="8222" w:leader="none"/>
        </w:tabs>
        <w:jc w:val="both"/>
        <w:rPr>
          <w:rFonts w:ascii="Arial" w:hAnsi="Arial" w:cs="Arial"/>
          <w:color w:val="000000"/>
          <w:sz w:val="20"/>
          <w:szCs w:val="20"/>
        </w:rPr>
      </w:pPr>
      <w:r>
        <w:rPr>
          <w:rFonts w:cs="Arial" w:ascii="Arial" w:hAnsi="Arial"/>
          <w:color w:val="000000"/>
          <w:sz w:val="20"/>
          <w:szCs w:val="20"/>
        </w:rPr>
      </w:r>
    </w:p>
    <w:p>
      <w:pPr>
        <w:pStyle w:val="Normal"/>
        <w:jc w:val="both"/>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t>Prezados Senhores</w:t>
      </w:r>
    </w:p>
    <w:p>
      <w:pPr>
        <w:pStyle w:val="Normal"/>
        <w:jc w:val="both"/>
        <w:rPr>
          <w:rFonts w:ascii="Arial" w:hAnsi="Arial" w:cs="Arial"/>
          <w:color w:val="000000"/>
          <w:sz w:val="20"/>
          <w:szCs w:val="20"/>
        </w:rPr>
      </w:pPr>
      <w:r>
        <w:rPr>
          <w:rFonts w:cs="Arial" w:ascii="Arial" w:hAnsi="Arial"/>
          <w:color w:val="000000"/>
          <w:sz w:val="20"/>
          <w:szCs w:val="20"/>
        </w:rPr>
      </w:r>
    </w:p>
    <w:p>
      <w:pPr>
        <w:pStyle w:val="Normal"/>
        <w:jc w:val="both"/>
        <w:rPr>
          <w:rFonts w:ascii="Arial" w:hAnsi="Arial"/>
          <w:sz w:val="20"/>
          <w:szCs w:val="20"/>
        </w:rPr>
      </w:pPr>
      <w:r>
        <w:rPr>
          <w:rFonts w:cs="Arial" w:ascii="Arial" w:hAnsi="Arial"/>
          <w:color w:val="000000"/>
          <w:sz w:val="20"/>
          <w:szCs w:val="20"/>
        </w:rPr>
        <w:t>A ...</w:t>
      </w:r>
      <w:r>
        <w:rPr>
          <w:rFonts w:cs="Arial" w:ascii="Arial" w:hAnsi="Arial"/>
          <w:bCs/>
          <w:color w:val="000000"/>
          <w:sz w:val="20"/>
          <w:szCs w:val="20"/>
        </w:rPr>
        <w:t xml:space="preserve"> (nome da empresa) ...</w:t>
      </w:r>
      <w:r>
        <w:rPr>
          <w:rFonts w:cs="Arial" w:ascii="Arial" w:hAnsi="Arial"/>
          <w:color w:val="000000"/>
          <w:sz w:val="20"/>
          <w:szCs w:val="20"/>
        </w:rPr>
        <w:t xml:space="preserve"> CNPJ/MF n.º ..., sediada ... </w:t>
      </w:r>
      <w:r>
        <w:rPr>
          <w:rFonts w:cs="Arial" w:ascii="Arial" w:hAnsi="Arial"/>
          <w:bCs/>
          <w:color w:val="000000"/>
          <w:sz w:val="20"/>
          <w:szCs w:val="20"/>
        </w:rPr>
        <w:t>(endereço completo) ...</w:t>
      </w:r>
      <w:r>
        <w:rPr>
          <w:rFonts w:cs="Arial" w:ascii="Arial" w:hAnsi="Arial"/>
          <w:color w:val="000000"/>
          <w:sz w:val="20"/>
          <w:szCs w:val="20"/>
        </w:rPr>
        <w:t>, tendo examinado o Convite, declara:</w:t>
      </w:r>
    </w:p>
    <w:p>
      <w:pPr>
        <w:pStyle w:val="Normal"/>
        <w:jc w:val="both"/>
        <w:rPr>
          <w:rFonts w:ascii="Arial" w:hAnsi="Arial" w:cs="Arial"/>
          <w:color w:val="000000"/>
          <w:sz w:val="20"/>
          <w:szCs w:val="20"/>
        </w:rPr>
      </w:pPr>
      <w:r>
        <w:rPr>
          <w:rFonts w:cs="Arial" w:ascii="Arial" w:hAnsi="Arial"/>
          <w:color w:val="000000"/>
          <w:sz w:val="20"/>
          <w:szCs w:val="20"/>
        </w:rPr>
      </w:r>
    </w:p>
    <w:p>
      <w:pPr>
        <w:pStyle w:val="Normal"/>
        <w:numPr>
          <w:ilvl w:val="0"/>
          <w:numId w:val="22"/>
        </w:numPr>
        <w:jc w:val="both"/>
        <w:rPr>
          <w:rFonts w:ascii="Arial" w:hAnsi="Arial" w:cs="Arial"/>
          <w:color w:val="000000"/>
          <w:sz w:val="20"/>
          <w:szCs w:val="20"/>
        </w:rPr>
      </w:pPr>
      <w:r>
        <w:rPr>
          <w:rFonts w:cs="Arial" w:ascii="Arial" w:hAnsi="Arial"/>
          <w:color w:val="000000"/>
          <w:sz w:val="20"/>
          <w:szCs w:val="20"/>
        </w:rPr>
        <w:t>que está ciente e concorda com as condições contidas no Edital e seus anexos, bem como de que cumpre plenamente os requisitos de habilitação definidos no Edital;</w:t>
      </w:r>
    </w:p>
    <w:p>
      <w:pPr>
        <w:pStyle w:val="Normal"/>
        <w:ind w:left="360" w:right="0" w:hanging="0"/>
        <w:jc w:val="both"/>
        <w:rPr>
          <w:rFonts w:ascii="Arial" w:hAnsi="Arial" w:cs="Arial"/>
          <w:color w:val="000000"/>
          <w:sz w:val="20"/>
          <w:szCs w:val="20"/>
        </w:rPr>
      </w:pPr>
      <w:r>
        <w:rPr>
          <w:rFonts w:cs="Arial" w:ascii="Arial" w:hAnsi="Arial"/>
          <w:color w:val="000000"/>
          <w:sz w:val="20"/>
          <w:szCs w:val="20"/>
        </w:rPr>
      </w:r>
    </w:p>
    <w:p>
      <w:pPr>
        <w:pStyle w:val="Normal"/>
        <w:numPr>
          <w:ilvl w:val="0"/>
          <w:numId w:val="22"/>
        </w:numPr>
        <w:jc w:val="both"/>
        <w:rPr>
          <w:rFonts w:ascii="Arial" w:hAnsi="Arial" w:cs="Arial"/>
          <w:color w:val="000000"/>
          <w:sz w:val="20"/>
          <w:szCs w:val="20"/>
        </w:rPr>
      </w:pPr>
      <w:r>
        <w:rPr>
          <w:rFonts w:cs="Arial" w:ascii="Arial" w:hAnsi="Arial"/>
          <w:color w:val="000000"/>
          <w:sz w:val="20"/>
          <w:szCs w:val="20"/>
        </w:rPr>
        <w:t>que a nacionalidade da empresa licitante é ...;</w:t>
      </w:r>
    </w:p>
    <w:p>
      <w:pPr>
        <w:pStyle w:val="Normal"/>
        <w:ind w:left="360" w:right="0" w:hanging="0"/>
        <w:jc w:val="both"/>
        <w:rPr>
          <w:rFonts w:ascii="Arial" w:hAnsi="Arial" w:cs="Arial"/>
          <w:color w:val="000000"/>
          <w:sz w:val="20"/>
          <w:szCs w:val="20"/>
        </w:rPr>
      </w:pPr>
      <w:r>
        <w:rPr>
          <w:rFonts w:cs="Arial" w:ascii="Arial" w:hAnsi="Arial"/>
          <w:color w:val="000000"/>
          <w:sz w:val="20"/>
          <w:szCs w:val="20"/>
        </w:rPr>
      </w:r>
    </w:p>
    <w:p>
      <w:pPr>
        <w:pStyle w:val="Normal"/>
        <w:numPr>
          <w:ilvl w:val="0"/>
          <w:numId w:val="22"/>
        </w:numPr>
        <w:jc w:val="both"/>
        <w:rPr>
          <w:rFonts w:ascii="Arial" w:hAnsi="Arial" w:cs="Arial"/>
          <w:color w:val="000000"/>
          <w:sz w:val="20"/>
          <w:szCs w:val="20"/>
        </w:rPr>
      </w:pPr>
      <w:r>
        <w:rPr>
          <w:rFonts w:cs="Arial" w:ascii="Arial" w:hAnsi="Arial"/>
          <w:color w:val="000000"/>
          <w:sz w:val="20"/>
          <w:szCs w:val="20"/>
        </w:rPr>
        <w:t>sob as penas da lei, que até a presente data inexistem fatos impeditivos para sua habilitação no processo licitatório, assim como, que está ciente da obrigatoriedade de declarar ocorrências posteriores;</w:t>
      </w:r>
    </w:p>
    <w:p>
      <w:pPr>
        <w:pStyle w:val="Normal"/>
        <w:ind w:left="360" w:right="0" w:hanging="0"/>
        <w:jc w:val="both"/>
        <w:rPr>
          <w:rFonts w:ascii="Arial" w:hAnsi="Arial" w:cs="Arial"/>
          <w:color w:val="000000"/>
          <w:sz w:val="20"/>
          <w:szCs w:val="20"/>
        </w:rPr>
      </w:pPr>
      <w:r>
        <w:rPr>
          <w:rFonts w:cs="Arial" w:ascii="Arial" w:hAnsi="Arial"/>
          <w:color w:val="000000"/>
          <w:sz w:val="20"/>
          <w:szCs w:val="20"/>
        </w:rPr>
      </w:r>
    </w:p>
    <w:p>
      <w:pPr>
        <w:pStyle w:val="Normal"/>
        <w:numPr>
          <w:ilvl w:val="0"/>
          <w:numId w:val="22"/>
        </w:numPr>
        <w:jc w:val="both"/>
        <w:rPr>
          <w:rFonts w:ascii="Arial" w:hAnsi="Arial" w:cs="Arial"/>
          <w:color w:val="000000"/>
          <w:sz w:val="20"/>
          <w:szCs w:val="20"/>
        </w:rPr>
      </w:pPr>
      <w:r>
        <w:rPr>
          <w:rFonts w:cs="Arial" w:ascii="Arial" w:hAnsi="Arial"/>
          <w:color w:val="000000"/>
          <w:sz w:val="20"/>
          <w:szCs w:val="20"/>
        </w:rPr>
        <w:t>sob as penas da lei, que não está sofrendo penalidade de inidoneidade e/ou de suspensão temporária (art. 87, III e IV, respectivamente, da Lei n.º 8.666/93), aplicada por qualquer órgão da Administração direta e indireta das esferas federal, estadual e municipal;</w:t>
      </w:r>
    </w:p>
    <w:p>
      <w:pPr>
        <w:pStyle w:val="Normal"/>
        <w:ind w:left="360" w:right="0" w:hanging="0"/>
        <w:jc w:val="both"/>
        <w:rPr>
          <w:rFonts w:ascii="Arial" w:hAnsi="Arial" w:cs="Arial"/>
          <w:color w:val="000000"/>
          <w:sz w:val="20"/>
          <w:szCs w:val="20"/>
        </w:rPr>
      </w:pPr>
      <w:r>
        <w:rPr>
          <w:rFonts w:cs="Arial" w:ascii="Arial" w:hAnsi="Arial"/>
          <w:color w:val="000000"/>
          <w:sz w:val="20"/>
          <w:szCs w:val="20"/>
        </w:rPr>
      </w:r>
    </w:p>
    <w:p>
      <w:pPr>
        <w:pStyle w:val="Normal"/>
        <w:numPr>
          <w:ilvl w:val="0"/>
          <w:numId w:val="22"/>
        </w:numPr>
        <w:jc w:val="both"/>
        <w:rPr>
          <w:rFonts w:ascii="Arial" w:hAnsi="Arial" w:cs="Arial"/>
          <w:color w:val="000000"/>
          <w:sz w:val="20"/>
          <w:szCs w:val="20"/>
        </w:rPr>
      </w:pPr>
      <w:r>
        <w:rPr>
          <w:rFonts w:cs="Arial" w:ascii="Arial" w:hAnsi="Arial"/>
          <w:color w:val="000000"/>
          <w:sz w:val="20"/>
          <w:szCs w:val="20"/>
        </w:rPr>
        <w:t>sob as penas da lei, que não mantém em seu quadro de pessoal menores de 18 (dezoito) anos em horário noturno de trabalho ou em serviços perigosos ou insalubres, não executando, ainda, qualquer trabalho com menores de 16 (dezesseis) anos, salvo na condição de aprendiz, a partir de 14 (quatorze) anos.</w:t>
      </w:r>
    </w:p>
    <w:p>
      <w:pPr>
        <w:pStyle w:val="Normal"/>
        <w:jc w:val="both"/>
        <w:rPr>
          <w:rFonts w:ascii="Arial" w:hAnsi="Arial" w:cs="Arial"/>
          <w:color w:val="000000"/>
          <w:sz w:val="20"/>
          <w:szCs w:val="20"/>
        </w:rPr>
      </w:pPr>
      <w:r>
        <w:rPr>
          <w:rFonts w:cs="Arial" w:ascii="Arial" w:hAnsi="Arial"/>
          <w:color w:val="000000"/>
          <w:sz w:val="20"/>
          <w:szCs w:val="20"/>
        </w:rPr>
      </w:r>
    </w:p>
    <w:p>
      <w:pPr>
        <w:pStyle w:val="Normal"/>
        <w:widowControl w:val="false"/>
        <w:suppressAutoHyphens w:val="true"/>
        <w:bidi w:val="0"/>
        <w:ind w:left="510" w:right="0" w:hanging="0"/>
        <w:jc w:val="both"/>
        <w:rPr>
          <w:rFonts w:ascii="Arial" w:hAnsi="Arial" w:cs="Arial"/>
          <w:color w:val="000000"/>
          <w:sz w:val="20"/>
          <w:szCs w:val="20"/>
        </w:rPr>
      </w:pPr>
      <w:r>
        <w:rPr>
          <w:rFonts w:cs="Arial" w:ascii="Arial" w:hAnsi="Arial"/>
          <w:color w:val="000000"/>
          <w:sz w:val="20"/>
          <w:szCs w:val="20"/>
        </w:rPr>
        <w:t>VI. que não possui, em sua cadeia produtiva, empregados executando trabalho degradante ou forçado, observando o disposto nos incisos III e IV do art. 1º e no inciso III do art. 5º da Constituição Federal;</w:t>
      </w:r>
    </w:p>
    <w:p>
      <w:pPr>
        <w:pStyle w:val="Normal"/>
        <w:widowControl w:val="false"/>
        <w:suppressAutoHyphens w:val="true"/>
        <w:bidi w:val="0"/>
        <w:ind w:left="510" w:right="0" w:hanging="0"/>
        <w:jc w:val="both"/>
        <w:rPr>
          <w:rFonts w:ascii="Arial" w:hAnsi="Arial" w:cs="Arial"/>
          <w:color w:val="000000"/>
          <w:sz w:val="20"/>
          <w:szCs w:val="20"/>
        </w:rPr>
      </w:pPr>
      <w:r>
        <w:rPr>
          <w:rFonts w:cs="Arial" w:ascii="Arial" w:hAnsi="Arial"/>
          <w:color w:val="000000"/>
          <w:sz w:val="20"/>
          <w:szCs w:val="20"/>
        </w:rPr>
      </w:r>
    </w:p>
    <w:p>
      <w:pPr>
        <w:pStyle w:val="Normal"/>
        <w:widowControl w:val="false"/>
        <w:suppressAutoHyphens w:val="true"/>
        <w:bidi w:val="0"/>
        <w:ind w:left="510" w:right="0" w:hanging="0"/>
        <w:jc w:val="both"/>
        <w:rPr>
          <w:rFonts w:ascii="Arial" w:hAnsi="Arial" w:cs="Arial"/>
          <w:color w:val="000000"/>
          <w:sz w:val="20"/>
          <w:szCs w:val="20"/>
        </w:rPr>
      </w:pPr>
      <w:r>
        <w:rPr>
          <w:rFonts w:cs="Arial" w:ascii="Arial" w:hAnsi="Arial"/>
          <w:color w:val="000000"/>
          <w:sz w:val="20"/>
          <w:szCs w:val="20"/>
        </w:rPr>
        <w:t>VII. que cumprem a reserva de cargos prevista em lei para pessoa com deficiência ou para reabilitado da Previdência Social e que atendam às regras de acessibilidade previstas na legislação, conforme disposto no art. 93 da Lei nº 8.213, de 24 de julho de 1991, caso opte pelo benefício previsto no art. 3º, § 2º, inciso V, da Lei nº 8.666/1993.</w:t>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t>___ (Local e Data) ___</w:t>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t>____________________________</w:t>
      </w:r>
    </w:p>
    <w:p>
      <w:pPr>
        <w:pStyle w:val="Normal"/>
        <w:jc w:val="center"/>
        <w:rPr>
          <w:rFonts w:ascii="Arial" w:hAnsi="Arial" w:cs="Arial"/>
          <w:color w:val="000000"/>
          <w:sz w:val="20"/>
          <w:szCs w:val="20"/>
        </w:rPr>
      </w:pPr>
      <w:r>
        <w:rPr>
          <w:rFonts w:cs="Arial" w:ascii="Arial" w:hAnsi="Arial"/>
          <w:color w:val="000000"/>
          <w:sz w:val="20"/>
          <w:szCs w:val="20"/>
        </w:rPr>
        <w:t>Empresa Licitante</w:t>
      </w:r>
    </w:p>
    <w:p>
      <w:pPr>
        <w:pStyle w:val="Normal"/>
        <w:jc w:val="center"/>
        <w:rPr>
          <w:rFonts w:ascii="Arial" w:hAnsi="Arial" w:cs="Arial"/>
          <w:color w:val="000000"/>
          <w:sz w:val="20"/>
          <w:szCs w:val="20"/>
        </w:rPr>
      </w:pPr>
      <w:r>
        <w:rPr>
          <w:rFonts w:cs="Arial" w:ascii="Arial" w:hAnsi="Arial"/>
          <w:color w:val="000000"/>
          <w:sz w:val="20"/>
          <w:szCs w:val="20"/>
        </w:rPr>
        <w:t>(responsável: nome, cargo e assinatura)</w:t>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pPr>
      <w:r>
        <w:rPr>
          <w:rFonts w:cs="Arial" w:ascii="Arial" w:hAnsi="Arial"/>
          <w:b/>
          <w:bCs/>
          <w:color w:val="000000"/>
          <w:sz w:val="20"/>
          <w:szCs w:val="20"/>
        </w:rPr>
        <w:t>ANEXO V</w:t>
      </w:r>
    </w:p>
    <w:p>
      <w:pPr>
        <w:pStyle w:val="Normal"/>
        <w:jc w:val="center"/>
        <w:rPr>
          <w:rFonts w:ascii="Arial" w:hAnsi="Arial" w:cs="Arial"/>
          <w:b/>
          <w:b/>
          <w:bCs/>
          <w:color w:val="000000"/>
          <w:sz w:val="20"/>
          <w:szCs w:val="20"/>
        </w:rPr>
      </w:pPr>
      <w:r>
        <w:rPr>
          <w:rFonts w:cs="Arial" w:ascii="Arial" w:hAnsi="Arial"/>
          <w:b/>
          <w:bCs/>
          <w:color w:val="000000"/>
          <w:sz w:val="20"/>
          <w:szCs w:val="20"/>
        </w:rPr>
        <w:t>DECLARAÇÃO DE ELABORAÇÃO INDEPENDENTE DE PROPOSTA</w:t>
      </w:r>
    </w:p>
    <w:p>
      <w:pPr>
        <w:pStyle w:val="Normal"/>
        <w:jc w:val="center"/>
        <w:rPr>
          <w:rFonts w:ascii="Arial" w:hAnsi="Arial" w:cs="Arial"/>
          <w:b/>
          <w:b/>
          <w:bCs/>
          <w:color w:val="000000"/>
          <w:sz w:val="20"/>
          <w:szCs w:val="20"/>
        </w:rPr>
      </w:pPr>
      <w:r>
        <w:rPr>
          <w:rFonts w:cs="Arial" w:ascii="Arial" w:hAnsi="Arial"/>
          <w:b/>
          <w:bCs/>
          <w:color w:val="000000"/>
          <w:sz w:val="20"/>
          <w:szCs w:val="20"/>
        </w:rPr>
      </w:r>
    </w:p>
    <w:p>
      <w:pPr>
        <w:pStyle w:val="Normal"/>
        <w:jc w:val="center"/>
        <w:rPr>
          <w:rFonts w:ascii="Arial" w:hAnsi="Arial" w:cs="Arial"/>
          <w:b/>
          <w:b/>
          <w:bCs/>
          <w:color w:val="000000"/>
          <w:sz w:val="20"/>
          <w:szCs w:val="20"/>
        </w:rPr>
      </w:pPr>
      <w:r>
        <w:rPr>
          <w:rFonts w:cs="Arial" w:ascii="Arial" w:hAnsi="Arial"/>
          <w:b/>
          <w:bCs/>
          <w:color w:val="000000"/>
          <w:sz w:val="20"/>
          <w:szCs w:val="20"/>
        </w:rPr>
      </w:r>
    </w:p>
    <w:p>
      <w:pPr>
        <w:pStyle w:val="Normal"/>
        <w:jc w:val="center"/>
        <w:rPr>
          <w:rFonts w:ascii="Arial" w:hAnsi="Arial"/>
          <w:sz w:val="20"/>
          <w:szCs w:val="20"/>
        </w:rPr>
      </w:pPr>
      <w:r>
        <w:rPr>
          <w:rFonts w:cs="Arial" w:ascii="Arial" w:hAnsi="Arial"/>
          <w:b/>
          <w:bCs/>
          <w:sz w:val="20"/>
          <w:szCs w:val="20"/>
        </w:rPr>
        <w:t>CONVITE N.º 01</w:t>
      </w:r>
      <w:r>
        <w:rPr>
          <w:rFonts w:cs="Arial" w:ascii="Arial" w:hAnsi="Arial"/>
          <w:b/>
          <w:sz w:val="20"/>
          <w:szCs w:val="20"/>
        </w:rPr>
        <w:t>/2019</w:t>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ind w:left="0" w:right="0" w:firstLine="708"/>
        <w:jc w:val="both"/>
        <w:rPr>
          <w:rFonts w:ascii="Arial" w:hAnsi="Arial"/>
          <w:sz w:val="20"/>
          <w:szCs w:val="20"/>
        </w:rPr>
      </w:pPr>
      <w:r>
        <w:rPr>
          <w:rFonts w:cs="Arial" w:ascii="Arial" w:hAnsi="Arial"/>
          <w:sz w:val="20"/>
          <w:szCs w:val="20"/>
        </w:rPr>
        <w:t xml:space="preserve">O(a) Sr(a). ___ (nome do(a) representante da licitante) ___, carteira de identidade n.º ___, CPF n.º ___, como representante devidamente constituído da ___ (nome da empresa) ___,  CNPJ/MF n.º </w:t>
      </w:r>
      <w:r>
        <w:rPr>
          <w:rFonts w:cs="Arial" w:ascii="Arial" w:hAnsi="Arial"/>
          <w:bCs/>
          <w:sz w:val="20"/>
          <w:szCs w:val="20"/>
        </w:rPr>
        <w:t>___</w:t>
      </w:r>
      <w:r>
        <w:rPr>
          <w:rFonts w:cs="Arial" w:ascii="Arial" w:hAnsi="Arial"/>
          <w:sz w:val="20"/>
          <w:szCs w:val="20"/>
        </w:rPr>
        <w:t xml:space="preserve">, sediada </w:t>
      </w:r>
      <w:r>
        <w:rPr>
          <w:rFonts w:cs="Arial" w:ascii="Arial" w:hAnsi="Arial"/>
          <w:bCs/>
          <w:sz w:val="20"/>
          <w:szCs w:val="20"/>
        </w:rPr>
        <w:t xml:space="preserve">___ (endereço completo) ___ </w:t>
      </w:r>
      <w:r>
        <w:rPr>
          <w:rFonts w:cs="Arial" w:ascii="Arial" w:hAnsi="Arial"/>
          <w:sz w:val="20"/>
          <w:szCs w:val="20"/>
        </w:rPr>
        <w:t xml:space="preserve">doravante denominada licitante, para fins do disposto no </w:t>
      </w:r>
      <w:r>
        <w:rPr>
          <w:rFonts w:cs="Arial" w:ascii="Arial" w:hAnsi="Arial"/>
          <w:color w:val="000000"/>
          <w:sz w:val="20"/>
          <w:szCs w:val="20"/>
        </w:rPr>
        <w:t>item 5.4.5</w:t>
      </w:r>
      <w:r>
        <w:rPr>
          <w:rFonts w:cs="Arial" w:ascii="Arial" w:hAnsi="Arial"/>
          <w:color w:val="FF0000"/>
          <w:sz w:val="20"/>
          <w:szCs w:val="20"/>
        </w:rPr>
        <w:t xml:space="preserve"> </w:t>
      </w:r>
      <w:r>
        <w:rPr>
          <w:rFonts w:cs="Arial" w:ascii="Arial" w:hAnsi="Arial"/>
          <w:sz w:val="20"/>
          <w:szCs w:val="20"/>
        </w:rPr>
        <w:t>do Convite n.º 01/2019, declara, sob as penas da lei, em especial o art. 299 do Código Penal Brasileiro, que:</w:t>
      </w:r>
    </w:p>
    <w:p>
      <w:pPr>
        <w:pStyle w:val="Normal"/>
        <w:spacing w:before="120" w:after="0"/>
        <w:ind w:left="0" w:right="0" w:firstLine="708"/>
        <w:jc w:val="both"/>
        <w:rPr>
          <w:rFonts w:ascii="Arial" w:hAnsi="Arial"/>
          <w:sz w:val="20"/>
          <w:szCs w:val="20"/>
        </w:rPr>
      </w:pPr>
      <w:r>
        <w:rPr>
          <w:rFonts w:cs="Arial" w:ascii="Arial" w:hAnsi="Arial"/>
          <w:sz w:val="20"/>
          <w:szCs w:val="20"/>
        </w:rPr>
        <w:t>a) a proposta apresentada para participar do Convite n.º 01/2019 foi elaborada de maneira independente pela licitante, e o conteúdo da proposta não foi, no todo ou em parte, direta ou indiretamente, informado, discutido ou recebido de qualquer outro participante potencial ou de fato do Convite n.º 01/2019 por qualquer meio ou por qualquer pessoa;</w:t>
      </w:r>
    </w:p>
    <w:p>
      <w:pPr>
        <w:pStyle w:val="Normal"/>
        <w:spacing w:before="120" w:after="0"/>
        <w:ind w:left="0" w:right="0" w:firstLine="708"/>
        <w:jc w:val="both"/>
        <w:rPr>
          <w:rFonts w:ascii="Arial" w:hAnsi="Arial"/>
          <w:sz w:val="20"/>
          <w:szCs w:val="20"/>
        </w:rPr>
      </w:pPr>
      <w:r>
        <w:rPr>
          <w:rFonts w:cs="Arial" w:ascii="Arial" w:hAnsi="Arial"/>
          <w:sz w:val="20"/>
          <w:szCs w:val="20"/>
        </w:rPr>
        <w:t>b) a intenção de apresentar a proposta elaborada para participar do Convite n.º 01/2019 não foi informada, discutida ou recebida de qualquer outro participante potencial ou de fato do Convite n.º 01/2019, por qualquer meio ou por qualquer pessoa;</w:t>
      </w:r>
    </w:p>
    <w:p>
      <w:pPr>
        <w:pStyle w:val="Normal"/>
        <w:spacing w:before="120" w:after="0"/>
        <w:ind w:left="0" w:right="0" w:firstLine="708"/>
        <w:jc w:val="both"/>
        <w:rPr>
          <w:rFonts w:ascii="Arial" w:hAnsi="Arial"/>
          <w:sz w:val="20"/>
          <w:szCs w:val="20"/>
        </w:rPr>
      </w:pPr>
      <w:r>
        <w:rPr>
          <w:rFonts w:cs="Arial" w:ascii="Arial" w:hAnsi="Arial"/>
          <w:sz w:val="20"/>
          <w:szCs w:val="20"/>
        </w:rPr>
        <w:t>c) não tentou, por qualquer meio ou por qualquer pessoa, influir na decisão de qualquer outro participante potencial ou de fato do Convite n.º 01/2019 quanto a participar ou não da referida licitação;</w:t>
      </w:r>
    </w:p>
    <w:p>
      <w:pPr>
        <w:pStyle w:val="Normal"/>
        <w:spacing w:before="120" w:after="0"/>
        <w:ind w:left="0" w:right="0" w:firstLine="708"/>
        <w:jc w:val="both"/>
        <w:rPr>
          <w:rFonts w:ascii="Arial" w:hAnsi="Arial"/>
          <w:sz w:val="20"/>
          <w:szCs w:val="20"/>
        </w:rPr>
      </w:pPr>
      <w:r>
        <w:rPr>
          <w:rFonts w:cs="Arial" w:ascii="Arial" w:hAnsi="Arial"/>
          <w:sz w:val="20"/>
          <w:szCs w:val="20"/>
        </w:rPr>
        <w:t>d) o conteúdo da proposta apresentada para participar do Convite n.º 01/2019 não será, no todo ou em parte, direta ou indiretamente, comunicado ou discutido com qualquer outro participante potencial ou de fato do Convite n.º 01/2019 antes da adjudicação do objeto da referida licitação;</w:t>
      </w:r>
    </w:p>
    <w:p>
      <w:pPr>
        <w:pStyle w:val="Normal"/>
        <w:spacing w:before="120" w:after="0"/>
        <w:ind w:left="0" w:right="0" w:firstLine="708"/>
        <w:jc w:val="both"/>
        <w:rPr>
          <w:rFonts w:ascii="Arial" w:hAnsi="Arial"/>
          <w:sz w:val="20"/>
          <w:szCs w:val="20"/>
        </w:rPr>
      </w:pPr>
      <w:r>
        <w:rPr>
          <w:rFonts w:cs="Arial" w:ascii="Arial" w:hAnsi="Arial"/>
          <w:sz w:val="20"/>
          <w:szCs w:val="20"/>
        </w:rPr>
        <w:t xml:space="preserve">e) o conteúdo da proposta apresentada para participar do Convite n.º 01/2019 não foi, no todo ou em parte, direta ou indiretamente, informado, discutido ou recebido de qualquer integrante do Instituto Federal Sul-rio-grandense antes da abertura oficial das propostas; e </w:t>
      </w:r>
    </w:p>
    <w:p>
      <w:pPr>
        <w:pStyle w:val="Normal"/>
        <w:spacing w:before="120" w:after="0"/>
        <w:ind w:left="0" w:right="0" w:firstLine="708"/>
        <w:jc w:val="both"/>
        <w:rPr>
          <w:rFonts w:ascii="Arial" w:hAnsi="Arial"/>
          <w:sz w:val="20"/>
          <w:szCs w:val="20"/>
        </w:rPr>
      </w:pPr>
      <w:r>
        <w:rPr>
          <w:rFonts w:cs="Arial" w:ascii="Arial" w:hAnsi="Arial"/>
          <w:sz w:val="20"/>
          <w:szCs w:val="20"/>
        </w:rPr>
        <w:t>f) que está plenamente ciente do teor e da extensão desta declaração e que detém plenos poderes e informações para firmá-la.</w:t>
      </w:r>
    </w:p>
    <w:p>
      <w:pPr>
        <w:pStyle w:val="Normal"/>
        <w:spacing w:before="120" w:after="0"/>
        <w:jc w:val="both"/>
        <w:rPr>
          <w:rFonts w:ascii="Arial" w:hAnsi="Arial" w:cs="Arial"/>
          <w:sz w:val="20"/>
          <w:szCs w:val="20"/>
        </w:rPr>
      </w:pPr>
      <w:r>
        <w:rPr>
          <w:rFonts w:cs="Arial" w:ascii="Arial" w:hAnsi="Arial"/>
          <w:sz w:val="20"/>
          <w:szCs w:val="20"/>
        </w:rPr>
      </w:r>
    </w:p>
    <w:p>
      <w:pPr>
        <w:pStyle w:val="Normal"/>
        <w:spacing w:before="120" w:after="0"/>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t>___ (Local e Data) ___</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color w:val="000000"/>
          <w:sz w:val="20"/>
          <w:szCs w:val="20"/>
        </w:rPr>
      </w:pPr>
      <w:r>
        <w:rPr>
          <w:rFonts w:cs="Arial" w:ascii="Arial" w:hAnsi="Arial"/>
          <w:color w:val="000000"/>
          <w:sz w:val="20"/>
          <w:szCs w:val="20"/>
        </w:rPr>
      </w:r>
    </w:p>
    <w:p>
      <w:pPr>
        <w:pStyle w:val="Normal"/>
        <w:jc w:val="center"/>
        <w:rPr>
          <w:rFonts w:ascii="Arial" w:hAnsi="Arial" w:cs="Arial"/>
          <w:color w:val="000000"/>
          <w:sz w:val="20"/>
          <w:szCs w:val="20"/>
        </w:rPr>
      </w:pPr>
      <w:r>
        <w:rPr>
          <w:rFonts w:cs="Arial" w:ascii="Arial" w:hAnsi="Arial"/>
          <w:color w:val="000000"/>
          <w:sz w:val="20"/>
          <w:szCs w:val="20"/>
        </w:rPr>
        <w:t>______________________________________</w:t>
      </w:r>
    </w:p>
    <w:p>
      <w:pPr>
        <w:pStyle w:val="Normal"/>
        <w:jc w:val="center"/>
        <w:rPr>
          <w:rFonts w:ascii="Arial" w:hAnsi="Arial" w:cs="Arial"/>
          <w:color w:val="000000"/>
          <w:sz w:val="20"/>
          <w:szCs w:val="20"/>
        </w:rPr>
      </w:pPr>
      <w:r>
        <w:rPr>
          <w:rFonts w:cs="Arial" w:ascii="Arial" w:hAnsi="Arial"/>
          <w:color w:val="000000"/>
          <w:sz w:val="20"/>
          <w:szCs w:val="20"/>
        </w:rPr>
        <w:t>(Nome e assinatura do representante legal)</w:t>
      </w:r>
      <w:r>
        <w:br w:type="page"/>
      </w:r>
    </w:p>
    <w:p>
      <w:pPr>
        <w:pStyle w:val="Normal"/>
        <w:ind w:left="426" w:right="0" w:hanging="426"/>
        <w:jc w:val="center"/>
        <w:rPr>
          <w:rFonts w:ascii="Arial" w:hAnsi="Arial" w:cs="Arial"/>
          <w:b/>
          <w:b/>
          <w:color w:val="000000"/>
          <w:sz w:val="20"/>
          <w:szCs w:val="20"/>
        </w:rPr>
      </w:pPr>
      <w:r>
        <w:rPr>
          <w:rFonts w:cs="Arial" w:ascii="Arial" w:hAnsi="Arial"/>
          <w:b/>
          <w:color w:val="000000"/>
          <w:sz w:val="20"/>
          <w:szCs w:val="20"/>
        </w:rPr>
      </w:r>
    </w:p>
    <w:p>
      <w:pPr>
        <w:pStyle w:val="Normal"/>
        <w:ind w:left="426" w:right="0" w:hanging="426"/>
        <w:jc w:val="center"/>
        <w:rPr>
          <w:rFonts w:ascii="Arial" w:hAnsi="Arial" w:cs="Arial"/>
          <w:b/>
          <w:b/>
          <w:color w:val="000000"/>
          <w:sz w:val="20"/>
          <w:szCs w:val="20"/>
        </w:rPr>
      </w:pPr>
      <w:r>
        <w:rPr>
          <w:rFonts w:cs="Arial" w:ascii="Arial" w:hAnsi="Arial"/>
          <w:b/>
          <w:color w:val="000000"/>
          <w:sz w:val="20"/>
          <w:szCs w:val="20"/>
        </w:rPr>
        <w:t>ANEXO VI</w:t>
      </w:r>
    </w:p>
    <w:p>
      <w:pPr>
        <w:pStyle w:val="Normal"/>
        <w:ind w:left="426" w:right="0" w:hanging="426"/>
        <w:jc w:val="center"/>
        <w:rPr>
          <w:rFonts w:ascii="Arial" w:hAnsi="Arial" w:cs="Arial"/>
          <w:b/>
          <w:b/>
          <w:color w:val="000000"/>
          <w:sz w:val="20"/>
          <w:szCs w:val="20"/>
        </w:rPr>
      </w:pPr>
      <w:r>
        <w:rPr>
          <w:rFonts w:cs="Arial" w:ascii="Arial" w:hAnsi="Arial"/>
          <w:b/>
          <w:color w:val="000000"/>
          <w:sz w:val="20"/>
          <w:szCs w:val="20"/>
        </w:rPr>
      </w:r>
    </w:p>
    <w:p>
      <w:pPr>
        <w:pStyle w:val="Normal"/>
        <w:ind w:left="426" w:right="0" w:hanging="426"/>
        <w:jc w:val="both"/>
        <w:rPr>
          <w:rFonts w:ascii="Arial" w:hAnsi="Arial" w:cs="Arial"/>
          <w:b/>
          <w:b/>
          <w:color w:val="000000"/>
          <w:sz w:val="20"/>
          <w:szCs w:val="20"/>
        </w:rPr>
      </w:pPr>
      <w:r>
        <w:rPr>
          <w:rFonts w:cs="Arial" w:ascii="Arial" w:hAnsi="Arial"/>
          <w:b/>
          <w:color w:val="000000"/>
          <w:sz w:val="20"/>
          <w:szCs w:val="20"/>
        </w:rPr>
      </w:r>
    </w:p>
    <w:p>
      <w:pPr>
        <w:pStyle w:val="Ttulo7"/>
        <w:numPr>
          <w:ilvl w:val="6"/>
          <w:numId w:val="1"/>
        </w:numPr>
        <w:rPr>
          <w:rFonts w:ascii="Arial" w:hAnsi="Arial" w:cs="Arial"/>
          <w:b/>
          <w:b/>
          <w:sz w:val="20"/>
          <w:szCs w:val="20"/>
        </w:rPr>
      </w:pPr>
      <w:r>
        <w:rPr>
          <w:rFonts w:cs="Arial" w:ascii="Arial" w:hAnsi="Arial"/>
          <w:b/>
          <w:sz w:val="20"/>
          <w:szCs w:val="20"/>
        </w:rPr>
        <w:t>DECLARAÇÃO DE ENQUADRAMENTO COMO ME OU EPP</w:t>
      </w:r>
    </w:p>
    <w:p>
      <w:pPr>
        <w:pStyle w:val="Normal"/>
        <w:jc w:val="both"/>
        <w:rPr>
          <w:rFonts w:ascii="Arial" w:hAnsi="Arial" w:eastAsia="Arial" w:cs="Arial"/>
          <w:sz w:val="20"/>
          <w:szCs w:val="20"/>
        </w:rPr>
      </w:pPr>
      <w:r>
        <w:rPr>
          <w:rFonts w:eastAsia="Arial" w:cs="Arial" w:ascii="Arial" w:hAnsi="Arial"/>
          <w:sz w:val="20"/>
          <w:szCs w:val="20"/>
        </w:rPr>
        <w:t xml:space="preserve"> </w:t>
      </w:r>
    </w:p>
    <w:p>
      <w:pPr>
        <w:pStyle w:val="Normal"/>
        <w:jc w:val="both"/>
        <w:rPr>
          <w:rFonts w:ascii="Arial" w:hAnsi="Arial" w:eastAsia="Arial" w:cs="Arial"/>
          <w:sz w:val="20"/>
          <w:szCs w:val="20"/>
        </w:rPr>
      </w:pPr>
      <w:r>
        <w:rPr>
          <w:rFonts w:eastAsia="Arial" w:cs="Arial" w:ascii="Arial" w:hAnsi="Arial"/>
          <w:sz w:val="20"/>
          <w:szCs w:val="20"/>
        </w:rPr>
      </w:r>
    </w:p>
    <w:p>
      <w:pPr>
        <w:pStyle w:val="Basedondiceanaltico"/>
        <w:spacing w:lineRule="auto" w:line="360" w:before="0" w:after="0"/>
        <w:ind w:left="0" w:right="0" w:firstLine="851"/>
        <w:jc w:val="both"/>
        <w:rPr>
          <w:rFonts w:ascii="Arial" w:hAnsi="Arial"/>
          <w:sz w:val="20"/>
          <w:szCs w:val="20"/>
        </w:rPr>
      </w:pPr>
      <w:r>
        <w:rPr>
          <w:color w:val="000000"/>
          <w:sz w:val="20"/>
          <w:szCs w:val="20"/>
        </w:rPr>
        <w:t xml:space="preserve">A ... </w:t>
      </w:r>
      <w:r>
        <w:rPr>
          <w:bCs/>
          <w:color w:val="000000"/>
          <w:sz w:val="20"/>
          <w:szCs w:val="20"/>
        </w:rPr>
        <w:t>(nome da empresa) ...</w:t>
      </w:r>
      <w:r>
        <w:rPr>
          <w:color w:val="000000"/>
          <w:sz w:val="20"/>
          <w:szCs w:val="20"/>
        </w:rPr>
        <w:t xml:space="preserve">, </w:t>
      </w:r>
      <w:r>
        <w:rPr>
          <w:bCs/>
          <w:color w:val="000000"/>
          <w:sz w:val="20"/>
          <w:szCs w:val="20"/>
        </w:rPr>
        <w:t>CNPJ/MF n.º ...</w:t>
      </w:r>
      <w:r>
        <w:rPr>
          <w:color w:val="000000"/>
          <w:sz w:val="20"/>
          <w:szCs w:val="20"/>
        </w:rPr>
        <w:t xml:space="preserve">, sediada ... </w:t>
      </w:r>
      <w:r>
        <w:rPr>
          <w:bCs/>
          <w:color w:val="000000"/>
          <w:sz w:val="20"/>
          <w:szCs w:val="20"/>
        </w:rPr>
        <w:t>(endereço completo) ...</w:t>
      </w:r>
      <w:r>
        <w:rPr>
          <w:color w:val="000000"/>
          <w:sz w:val="20"/>
          <w:szCs w:val="20"/>
        </w:rPr>
        <w:t xml:space="preserve">, por intermédio de seu representante legal, ... (nome do representante) ..., CI n.º ..., CPF n.º ..., </w:t>
      </w:r>
      <w:r>
        <w:rPr>
          <w:spacing w:val="0"/>
          <w:sz w:val="20"/>
          <w:szCs w:val="20"/>
        </w:rPr>
        <w:t xml:space="preserve">DECLARA, </w:t>
      </w:r>
      <w:r>
        <w:rPr>
          <w:color w:val="000000"/>
          <w:spacing w:val="0"/>
          <w:sz w:val="20"/>
          <w:szCs w:val="20"/>
        </w:rPr>
        <w:t xml:space="preserve">para os devidos fins que, sob as penas da lei, cumpre os requisitos estabelecidos no art. 3º da </w:t>
      </w:r>
      <w:r>
        <w:rPr>
          <w:spacing w:val="0"/>
          <w:sz w:val="20"/>
          <w:szCs w:val="20"/>
        </w:rPr>
        <w:t xml:space="preserve">Lei Complementar n.º 123, de 14/12/2006, e que </w:t>
      </w:r>
      <w:r>
        <w:rPr>
          <w:b/>
          <w:spacing w:val="0"/>
          <w:sz w:val="20"/>
          <w:szCs w:val="20"/>
        </w:rPr>
        <w:t>não se enquadra nas hipóteses de vedações impostas pelo §4º do mesmo artigo</w:t>
      </w:r>
      <w:r>
        <w:rPr>
          <w:spacing w:val="0"/>
          <w:sz w:val="20"/>
          <w:szCs w:val="20"/>
        </w:rPr>
        <w:t xml:space="preserve">, estando </w:t>
      </w:r>
      <w:r>
        <w:rPr>
          <w:color w:val="000000"/>
          <w:spacing w:val="0"/>
          <w:sz w:val="20"/>
          <w:szCs w:val="20"/>
        </w:rPr>
        <w:t>apta a usufruir do tratamento diferenciado estabelecido nos arts. 42 ao 49 da referida lei.</w:t>
      </w:r>
    </w:p>
    <w:p>
      <w:pPr>
        <w:pStyle w:val="Basedondiceanaltico"/>
        <w:spacing w:lineRule="auto" w:line="360" w:before="0" w:after="0"/>
        <w:ind w:left="0" w:right="0" w:firstLine="851"/>
        <w:jc w:val="both"/>
        <w:rPr>
          <w:rFonts w:ascii="Arial" w:hAnsi="Arial"/>
          <w:color w:val="000000"/>
          <w:spacing w:val="0"/>
          <w:sz w:val="20"/>
          <w:szCs w:val="20"/>
        </w:rPr>
      </w:pPr>
      <w:r>
        <w:rPr>
          <w:color w:val="000000"/>
          <w:spacing w:val="0"/>
          <w:sz w:val="20"/>
          <w:szCs w:val="20"/>
        </w:rPr>
      </w:r>
    </w:p>
    <w:p>
      <w:pPr>
        <w:pStyle w:val="Normal"/>
        <w:spacing w:lineRule="auto" w:line="360"/>
        <w:jc w:val="center"/>
        <w:rPr>
          <w:rFonts w:ascii="Arial" w:hAnsi="Arial" w:cs="Arial"/>
          <w:color w:val="000000"/>
          <w:sz w:val="20"/>
          <w:szCs w:val="20"/>
        </w:rPr>
      </w:pPr>
      <w:r>
        <w:rPr>
          <w:rFonts w:cs="Arial" w:ascii="Arial" w:hAnsi="Arial"/>
          <w:color w:val="000000"/>
          <w:sz w:val="20"/>
          <w:szCs w:val="20"/>
        </w:rPr>
        <w:t>___ (Local e Data) ___</w:t>
      </w:r>
    </w:p>
    <w:p>
      <w:pPr>
        <w:pStyle w:val="Normal"/>
        <w:spacing w:lineRule="auto" w:line="360"/>
        <w:jc w:val="center"/>
        <w:rPr>
          <w:rFonts w:ascii="Arial" w:hAnsi="Arial" w:cs="Arial"/>
          <w:color w:val="000000"/>
          <w:sz w:val="20"/>
          <w:szCs w:val="20"/>
        </w:rPr>
      </w:pPr>
      <w:r>
        <w:rPr>
          <w:rFonts w:cs="Arial" w:ascii="Arial" w:hAnsi="Arial"/>
          <w:color w:val="000000"/>
          <w:sz w:val="20"/>
          <w:szCs w:val="20"/>
        </w:rPr>
      </w:r>
    </w:p>
    <w:p>
      <w:pPr>
        <w:pStyle w:val="Normal"/>
        <w:spacing w:lineRule="auto" w:line="360"/>
        <w:jc w:val="center"/>
        <w:rPr>
          <w:rFonts w:ascii="Arial" w:hAnsi="Arial" w:cs="Arial"/>
          <w:color w:val="000000"/>
          <w:sz w:val="20"/>
          <w:szCs w:val="20"/>
        </w:rPr>
      </w:pPr>
      <w:r>
        <w:rPr>
          <w:rFonts w:cs="Arial" w:ascii="Arial" w:hAnsi="Arial"/>
          <w:color w:val="000000"/>
          <w:sz w:val="20"/>
          <w:szCs w:val="20"/>
        </w:rPr>
        <w:t>____________________________</w:t>
      </w:r>
    </w:p>
    <w:p>
      <w:pPr>
        <w:pStyle w:val="Normal"/>
        <w:spacing w:lineRule="auto" w:line="360"/>
        <w:jc w:val="center"/>
        <w:rPr>
          <w:rFonts w:ascii="Arial" w:hAnsi="Arial" w:cs="Arial"/>
          <w:color w:val="000000"/>
          <w:sz w:val="20"/>
          <w:szCs w:val="20"/>
        </w:rPr>
      </w:pPr>
      <w:r>
        <w:rPr>
          <w:rFonts w:cs="Arial" w:ascii="Arial" w:hAnsi="Arial"/>
          <w:color w:val="000000"/>
          <w:sz w:val="20"/>
          <w:szCs w:val="20"/>
        </w:rPr>
        <w:t>Empresa Licitante</w:t>
      </w:r>
    </w:p>
    <w:p>
      <w:pPr>
        <w:pStyle w:val="Normal"/>
        <w:spacing w:lineRule="auto" w:line="360"/>
        <w:jc w:val="center"/>
        <w:rPr>
          <w:rFonts w:ascii="Arial" w:hAnsi="Arial" w:cs="Arial"/>
          <w:color w:val="000000"/>
          <w:sz w:val="20"/>
          <w:szCs w:val="20"/>
        </w:rPr>
      </w:pPr>
      <w:r>
        <w:rPr>
          <w:rFonts w:cs="Arial" w:ascii="Arial" w:hAnsi="Arial"/>
          <w:color w:val="000000"/>
          <w:sz w:val="20"/>
          <w:szCs w:val="20"/>
        </w:rPr>
        <w:t>(responsável: nome, cargo e assinatura)</w:t>
      </w:r>
    </w:p>
    <w:p>
      <w:pPr>
        <w:pStyle w:val="Normal"/>
        <w:jc w:val="center"/>
        <w:rPr>
          <w:rFonts w:ascii="Arial" w:hAnsi="Arial" w:eastAsia="Arial" w:cs="Arial"/>
          <w:b/>
          <w:b/>
          <w:bCs/>
          <w:color w:val="000000"/>
          <w:sz w:val="20"/>
          <w:szCs w:val="20"/>
        </w:rPr>
      </w:pPr>
      <w:r>
        <w:rPr>
          <w:rFonts w:eastAsia="Arial" w:cs="Arial" w:ascii="Arial" w:hAnsi="Arial"/>
          <w:b/>
          <w:bCs/>
          <w:color w:val="000000"/>
          <w:sz w:val="20"/>
          <w:szCs w:val="20"/>
        </w:rPr>
      </w:r>
    </w:p>
    <w:p>
      <w:pPr>
        <w:pStyle w:val="Normal"/>
        <w:jc w:val="center"/>
        <w:rPr>
          <w:rFonts w:ascii="Arial" w:hAnsi="Arial" w:eastAsia="Arial" w:cs="Arial"/>
          <w:b/>
          <w:b/>
          <w:bCs/>
          <w:color w:val="000000"/>
          <w:sz w:val="20"/>
          <w:szCs w:val="20"/>
        </w:rPr>
      </w:pPr>
      <w:r>
        <w:rPr>
          <w:rFonts w:eastAsia="Arial" w:cs="Arial" w:ascii="Arial" w:hAnsi="Arial"/>
          <w:b/>
          <w:bCs/>
          <w:color w:val="000000"/>
          <w:sz w:val="20"/>
          <w:szCs w:val="20"/>
        </w:rPr>
      </w:r>
    </w:p>
    <w:p>
      <w:pPr>
        <w:pStyle w:val="Normal"/>
        <w:jc w:val="center"/>
        <w:rPr>
          <w:rFonts w:ascii="Arial" w:hAnsi="Arial" w:eastAsia="Arial" w:cs="Arial"/>
          <w:b/>
          <w:b/>
          <w:bCs/>
          <w:color w:val="000000"/>
          <w:sz w:val="20"/>
          <w:szCs w:val="20"/>
        </w:rPr>
      </w:pPr>
      <w:r>
        <w:rPr>
          <w:rFonts w:eastAsia="Arial" w:cs="Arial" w:ascii="Arial" w:hAnsi="Arial"/>
          <w:b/>
          <w:bCs/>
          <w:color w:val="000000"/>
          <w:sz w:val="20"/>
          <w:szCs w:val="20"/>
        </w:rPr>
      </w:r>
    </w:p>
    <w:p>
      <w:pPr>
        <w:pStyle w:val="Normal"/>
        <w:jc w:val="center"/>
        <w:rPr>
          <w:rFonts w:ascii="Arial" w:hAnsi="Arial" w:eastAsia="Arial" w:cs="Arial"/>
          <w:b/>
          <w:b/>
          <w:bCs/>
          <w:color w:val="000000"/>
          <w:sz w:val="20"/>
          <w:szCs w:val="20"/>
        </w:rPr>
      </w:pPr>
      <w:r>
        <w:rPr>
          <w:rFonts w:eastAsia="Arial" w:cs="Arial" w:ascii="Arial" w:hAnsi="Arial"/>
          <w:b/>
          <w:bCs/>
          <w:color w:val="000000"/>
          <w:sz w:val="20"/>
          <w:szCs w:val="20"/>
        </w:rPr>
      </w:r>
    </w:p>
    <w:p>
      <w:pPr>
        <w:pStyle w:val="Normal"/>
        <w:jc w:val="center"/>
        <w:rPr>
          <w:rFonts w:ascii="Arial" w:hAnsi="Arial" w:eastAsia="Arial" w:cs="Arial"/>
          <w:b/>
          <w:b/>
          <w:bCs/>
          <w:color w:val="000000"/>
          <w:sz w:val="20"/>
          <w:szCs w:val="20"/>
        </w:rPr>
      </w:pPr>
      <w:r>
        <w:rPr>
          <w:rFonts w:eastAsia="Arial" w:cs="Arial" w:ascii="Arial" w:hAnsi="Arial"/>
          <w:b/>
          <w:bCs/>
          <w:color w:val="000000"/>
          <w:sz w:val="20"/>
          <w:szCs w:val="20"/>
        </w:rPr>
      </w:r>
    </w:p>
    <w:p>
      <w:pPr>
        <w:pStyle w:val="Normal"/>
        <w:jc w:val="center"/>
        <w:rPr>
          <w:rFonts w:ascii="Arial" w:hAnsi="Arial" w:eastAsia="Arial" w:cs="Arial"/>
          <w:b/>
          <w:b/>
          <w:bCs/>
          <w:sz w:val="20"/>
          <w:szCs w:val="20"/>
        </w:rPr>
      </w:pPr>
      <w:r>
        <w:rPr>
          <w:rFonts w:eastAsia="Arial"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pPr>
      <w:r>
        <w:rPr/>
      </w:r>
    </w:p>
    <w:sectPr>
      <w:footerReference w:type="default" r:id="rId7"/>
      <w:type w:val="nextPage"/>
      <w:pgSz w:w="11906" w:h="16838"/>
      <w:pgMar w:left="1701" w:right="1134" w:header="0" w:top="1418" w:footer="709" w:bottom="1418"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Ecofont_Spranq_eco_Sans">
    <w:charset w:val="00"/>
    <w:family w:val="roman"/>
    <w:pitch w:val="variable"/>
  </w:font>
  <w:font w:name="Arial">
    <w:charset w:val="00"/>
    <w:family w:val="roman"/>
    <w:pitch w:val="variable"/>
  </w:font>
  <w:font w:name="Liberation Sans">
    <w:altName w:val="Arial"/>
    <w:charset w:val="00"/>
    <w:family w:val="roman"/>
    <w:pitch w:val="variable"/>
  </w:font>
  <w:font w:name="Courier New">
    <w:charset w:val="00"/>
    <w:family w:val="roman"/>
    <w:pitch w:val="variable"/>
  </w:font>
  <w:font w:name="Arial Unicode MS">
    <w:charset w:val="00"/>
    <w:family w:val="roman"/>
    <w:pitch w:val="variable"/>
  </w:font>
  <w:font w:name="Taho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Arial" w:hAnsi="Arial" w:cs="Arial"/>
        <w:sz w:val="12"/>
      </w:rPr>
    </w:pPr>
    <w:r>
      <w:rPr>
        <w:rFonts w:cs="Arial" w:ascii="Arial" w:hAnsi="Arial"/>
        <w:sz w:val="12"/>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decimal"/>
      <w:lvlText w:val="%1."/>
      <w:lvlJc w:val="left"/>
      <w:pPr>
        <w:ind w:left="502" w:hanging="360"/>
      </w:pPr>
      <w:rPr>
        <w:dstrike w:val="false"/>
        <w:strike w:val="false"/>
        <w:sz w:val="20"/>
        <w:i w:val="false"/>
        <w:b/>
        <w:rFonts w:ascii="Arial" w:hAnsi="Arial"/>
      </w:rPr>
    </w:lvl>
    <w:lvl w:ilvl="1">
      <w:start w:val="1"/>
      <w:numFmt w:val="decimal"/>
      <w:lvlText w:val="%1.%2."/>
      <w:lvlJc w:val="left"/>
      <w:pPr>
        <w:ind w:left="4685" w:hanging="432"/>
      </w:pPr>
      <w:rPr>
        <w:dstrike w:val="false"/>
        <w:strike w:val="false"/>
        <w:sz w:val="20"/>
        <w:b/>
        <w:rFonts w:ascii="Arial" w:hAnsi="Arial"/>
      </w:rPr>
    </w:lvl>
    <w:lvl w:ilvl="2">
      <w:start w:val="1"/>
      <w:numFmt w:val="decimal"/>
      <w:lvlText w:val="%1.%2.%3."/>
      <w:lvlJc w:val="left"/>
      <w:pPr>
        <w:ind w:left="1224" w:hanging="504"/>
      </w:pPr>
      <w:rPr>
        <w:dstrike w:val="false"/>
        <w:strike w:val="false"/>
        <w:sz w:val="20"/>
        <w:i w:val="false"/>
        <w:b/>
        <w:rFonts w:ascii="Arial" w:hAnsi="Arial"/>
        <w:color w:val="00000A"/>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decimal"/>
      <w:lvlText w:val="%1."/>
      <w:lvlJc w:val="left"/>
      <w:pPr>
        <w:ind w:left="360" w:hanging="360"/>
      </w:pPr>
    </w:lvl>
    <w:lvl w:ilvl="1">
      <w:start w:val="1"/>
      <w:numFmt w:val="decimal"/>
      <w:lvlText w:val="%1.%2."/>
      <w:lvlJc w:val="left"/>
      <w:pPr>
        <w:ind w:left="858" w:hanging="432"/>
      </w:pPr>
      <w:rPr>
        <w:dstrike w:val="false"/>
        <w:strike w:val="false"/>
        <w:sz w:val="20"/>
        <w:i w:val="false"/>
        <w:u w:val="none"/>
        <w:b w:val="false"/>
        <w:effect w:val="none"/>
        <w:color w:val="00000A"/>
      </w:rPr>
    </w:lvl>
    <w:lvl w:ilvl="2">
      <w:start w:val="1"/>
      <w:numFmt w:val="decimal"/>
      <w:lvlText w:val="%1.%2.%3."/>
      <w:lvlJc w:val="left"/>
      <w:pPr>
        <w:ind w:left="1072" w:hanging="504"/>
      </w:pPr>
      <w:rPr>
        <w:sz w:val="20"/>
        <w:szCs w:val="20"/>
      </w:rPr>
    </w:lvl>
    <w:lvl w:ilvl="3">
      <w:start w:val="1"/>
      <w:numFmt w:val="decimal"/>
      <w:lvlText w:val="%1.%2.%3.%4."/>
      <w:lvlJc w:val="left"/>
      <w:pPr>
        <w:ind w:left="1728" w:hanging="648"/>
      </w:pPr>
      <w:rPr>
        <w:i w:val="false"/>
        <w:color w:val="00000A"/>
      </w:rPr>
    </w:lvl>
    <w:lvl w:ilvl="4">
      <w:start w:val="1"/>
      <w:numFmt w:val="decimal"/>
      <w:lvlText w:val="%1.%2.%3.%4.%5."/>
      <w:lvlJc w:val="left"/>
      <w:pPr>
        <w:ind w:left="30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rPr>
        <w:sz w:val="20"/>
        <w:b/>
        <w:rFonts w:ascii="Arial" w:hAnsi="Arial"/>
      </w:rPr>
    </w:lvl>
    <w:lvl w:ilvl="1">
      <w:start w:val="1"/>
      <w:numFmt w:val="decimal"/>
      <w:lvlText w:val="%1.%2."/>
      <w:lvlJc w:val="left"/>
      <w:pPr>
        <w:ind w:left="716" w:hanging="432"/>
      </w:pPr>
      <w:rPr>
        <w:dstrike w:val="false"/>
        <w:strike w:val="false"/>
        <w:sz w:val="20"/>
        <w:i w:val="false"/>
        <w:u w:val="none"/>
        <w:b/>
        <w:szCs w:val="20"/>
        <w:rFonts w:ascii="Arial" w:hAnsi="Arial" w:cs="Arial"/>
        <w:color w:val="00000A"/>
      </w:rPr>
    </w:lvl>
    <w:lvl w:ilvl="2">
      <w:start w:val="1"/>
      <w:numFmt w:val="decimal"/>
      <w:lvlText w:val="%1.%2.%3."/>
      <w:lvlJc w:val="left"/>
      <w:pPr>
        <w:ind w:left="2205" w:hanging="504"/>
      </w:pPr>
      <w:rPr>
        <w:sz w:val="20"/>
        <w:i w:val="false"/>
        <w:b w:val="false"/>
        <w:szCs w:val="20"/>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6"/>
      <w:numFmt w:val="decimal"/>
      <w:lvlText w:val="%1."/>
      <w:lvlJc w:val="left"/>
      <w:pPr>
        <w:ind w:left="495" w:hanging="495"/>
      </w:pPr>
      <w:rPr>
        <w:sz w:val="20"/>
        <w:i w:val="false"/>
        <w:b/>
        <w:iCs w:val="false"/>
        <w:rFonts w:ascii="Arial" w:hAnsi="Arial"/>
        <w:color w:val="000000"/>
      </w:rPr>
    </w:lvl>
    <w:lvl w:ilvl="1">
      <w:start w:val="2"/>
      <w:numFmt w:val="decimal"/>
      <w:lvlText w:val="%1.%2."/>
      <w:lvlJc w:val="left"/>
      <w:pPr>
        <w:ind w:left="1107" w:hanging="495"/>
      </w:pPr>
      <w:rPr>
        <w:sz w:val="20"/>
        <w:i w:val="false"/>
        <w:b/>
        <w:iCs w:val="false"/>
        <w:rFonts w:ascii="Arial" w:hAnsi="Arial"/>
        <w:color w:val="000000"/>
      </w:rPr>
    </w:lvl>
    <w:lvl w:ilvl="2">
      <w:start w:val="9"/>
      <w:numFmt w:val="decimal"/>
      <w:lvlText w:val="%1.%2.%3."/>
      <w:lvlJc w:val="left"/>
      <w:pPr>
        <w:ind w:left="1944" w:hanging="720"/>
      </w:pPr>
      <w:rPr>
        <w:sz w:val="20"/>
        <w:i w:val="false"/>
        <w:b/>
        <w:iCs w:val="false"/>
        <w:rFonts w:ascii="Arial" w:hAnsi="Arial"/>
        <w:color w:val="000000"/>
      </w:rPr>
    </w:lvl>
    <w:lvl w:ilvl="3">
      <w:start w:val="1"/>
      <w:numFmt w:val="decimal"/>
      <w:lvlText w:val="%1.%2.%3.%4."/>
      <w:lvlJc w:val="left"/>
      <w:pPr>
        <w:ind w:left="2556" w:hanging="720"/>
      </w:pPr>
      <w:rPr>
        <w:sz w:val="20"/>
        <w:i w:val="false"/>
        <w:b/>
        <w:iCs w:val="false"/>
        <w:rFonts w:ascii="Arial" w:hAnsi="Arial"/>
        <w:color w:val="000000"/>
      </w:rPr>
    </w:lvl>
    <w:lvl w:ilvl="4">
      <w:start w:val="1"/>
      <w:numFmt w:val="decimal"/>
      <w:lvlText w:val="%1.%2.%3.%4.%5."/>
      <w:lvlJc w:val="left"/>
      <w:pPr>
        <w:ind w:left="3528" w:hanging="1080"/>
      </w:pPr>
      <w:rPr>
        <w:sz w:val="20"/>
        <w:i w:val="false"/>
        <w:b/>
        <w:iCs w:val="false"/>
        <w:rFonts w:ascii="Arial" w:hAnsi="Arial"/>
        <w:color w:val="000000"/>
      </w:rPr>
    </w:lvl>
    <w:lvl w:ilvl="5">
      <w:start w:val="1"/>
      <w:numFmt w:val="decimal"/>
      <w:lvlText w:val="%1.%2.%3.%4.%5.%6."/>
      <w:lvlJc w:val="left"/>
      <w:pPr>
        <w:ind w:left="4140" w:hanging="1080"/>
      </w:pPr>
      <w:rPr>
        <w:sz w:val="20"/>
        <w:i w:val="false"/>
        <w:b/>
        <w:iCs w:val="false"/>
        <w:rFonts w:ascii="Arial" w:hAnsi="Arial"/>
        <w:color w:val="000000"/>
      </w:rPr>
    </w:lvl>
    <w:lvl w:ilvl="6">
      <w:start w:val="1"/>
      <w:numFmt w:val="decimal"/>
      <w:lvlText w:val="%1.%2.%3.%4.%5.%6.%7."/>
      <w:lvlJc w:val="left"/>
      <w:pPr>
        <w:ind w:left="5112" w:hanging="1440"/>
      </w:pPr>
      <w:rPr>
        <w:sz w:val="20"/>
        <w:i w:val="false"/>
        <w:b/>
        <w:iCs w:val="false"/>
        <w:rFonts w:ascii="Arial" w:hAnsi="Arial"/>
        <w:color w:val="000000"/>
      </w:rPr>
    </w:lvl>
    <w:lvl w:ilvl="7">
      <w:start w:val="1"/>
      <w:numFmt w:val="decimal"/>
      <w:lvlText w:val="%1.%2.%3.%4.%5.%6.%7.%8."/>
      <w:lvlJc w:val="left"/>
      <w:pPr>
        <w:ind w:left="5724" w:hanging="1440"/>
      </w:pPr>
      <w:rPr>
        <w:sz w:val="20"/>
        <w:i w:val="false"/>
        <w:b/>
        <w:iCs w:val="false"/>
        <w:rFonts w:ascii="Arial" w:hAnsi="Arial"/>
        <w:color w:val="000000"/>
      </w:rPr>
    </w:lvl>
    <w:lvl w:ilvl="8">
      <w:start w:val="1"/>
      <w:numFmt w:val="decimal"/>
      <w:lvlText w:val="%1.%2.%3.%4.%5.%6.%7.%8.%9."/>
      <w:lvlJc w:val="left"/>
      <w:pPr>
        <w:ind w:left="6696" w:hanging="1800"/>
      </w:pPr>
      <w:rPr>
        <w:sz w:val="20"/>
        <w:i w:val="false"/>
        <w:b/>
        <w:iCs w:val="false"/>
        <w:rFonts w:ascii="Arial" w:hAnsi="Arial"/>
        <w:color w:val="000000"/>
      </w:rPr>
    </w:lvl>
  </w:abstractNum>
  <w:abstractNum w:abstractNumI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4"/>
      <w:numFmt w:val="decimal"/>
      <w:lvlText w:val="%1"/>
      <w:lvlJc w:val="left"/>
      <w:pPr>
        <w:ind w:left="435" w:hanging="435"/>
      </w:pPr>
      <w:rPr>
        <w:sz w:val="20"/>
        <w:rFonts w:ascii="Arial" w:hAnsi="Arial"/>
        <w:color w:val="000000"/>
      </w:rPr>
    </w:lvl>
    <w:lvl w:ilvl="1">
      <w:start w:val="3"/>
      <w:numFmt w:val="decimal"/>
      <w:lvlText w:val="%1.%2"/>
      <w:lvlJc w:val="left"/>
      <w:pPr>
        <w:ind w:left="1145" w:hanging="435"/>
      </w:pPr>
      <w:rPr>
        <w:sz w:val="20"/>
        <w:rFonts w:ascii="Arial" w:hAnsi="Arial"/>
        <w:color w:val="000000"/>
      </w:rPr>
    </w:lvl>
    <w:lvl w:ilvl="2">
      <w:start w:val="1"/>
      <w:numFmt w:val="decimal"/>
      <w:lvlText w:val="%1.%2.%3"/>
      <w:lvlJc w:val="left"/>
      <w:pPr>
        <w:ind w:left="2140" w:hanging="720"/>
      </w:pPr>
      <w:rPr>
        <w:sz w:val="20"/>
        <w:rFonts w:ascii="Arial" w:hAnsi="Arial"/>
        <w:color w:val="000000"/>
      </w:rPr>
    </w:lvl>
    <w:lvl w:ilvl="3">
      <w:start w:val="1"/>
      <w:numFmt w:val="decimal"/>
      <w:lvlText w:val="%1.%2.%3.%4"/>
      <w:lvlJc w:val="left"/>
      <w:pPr>
        <w:ind w:left="2850" w:hanging="720"/>
      </w:pPr>
      <w:rPr>
        <w:sz w:val="20"/>
        <w:rFonts w:ascii="Arial" w:hAnsi="Arial"/>
        <w:color w:val="000000"/>
      </w:rPr>
    </w:lvl>
    <w:lvl w:ilvl="4">
      <w:start w:val="1"/>
      <w:numFmt w:val="decimal"/>
      <w:lvlText w:val="%1.%2.%3.%4.%5"/>
      <w:lvlJc w:val="left"/>
      <w:pPr>
        <w:ind w:left="3560" w:hanging="720"/>
      </w:pPr>
      <w:rPr>
        <w:sz w:val="20"/>
        <w:rFonts w:ascii="Arial" w:hAnsi="Arial"/>
        <w:color w:val="000000"/>
      </w:rPr>
    </w:lvl>
    <w:lvl w:ilvl="5">
      <w:start w:val="1"/>
      <w:numFmt w:val="decimal"/>
      <w:lvlText w:val="%1.%2.%3.%4.%5.%6"/>
      <w:lvlJc w:val="left"/>
      <w:pPr>
        <w:ind w:left="4630" w:hanging="1080"/>
      </w:pPr>
      <w:rPr>
        <w:sz w:val="20"/>
        <w:rFonts w:ascii="Arial" w:hAnsi="Arial"/>
        <w:color w:val="000000"/>
      </w:rPr>
    </w:lvl>
    <w:lvl w:ilvl="6">
      <w:start w:val="1"/>
      <w:numFmt w:val="decimal"/>
      <w:lvlText w:val="%1.%2.%3.%4.%5.%6.%7"/>
      <w:lvlJc w:val="left"/>
      <w:pPr>
        <w:ind w:left="5340" w:hanging="1080"/>
      </w:pPr>
      <w:rPr>
        <w:sz w:val="20"/>
        <w:rFonts w:ascii="Arial" w:hAnsi="Arial"/>
        <w:color w:val="000000"/>
      </w:rPr>
    </w:lvl>
    <w:lvl w:ilvl="7">
      <w:start w:val="1"/>
      <w:numFmt w:val="decimal"/>
      <w:lvlText w:val="%1.%2.%3.%4.%5.%6.%7.%8"/>
      <w:lvlJc w:val="left"/>
      <w:pPr>
        <w:ind w:left="6410" w:hanging="1440"/>
      </w:pPr>
      <w:rPr>
        <w:sz w:val="20"/>
        <w:rFonts w:ascii="Arial" w:hAnsi="Arial"/>
        <w:color w:val="000000"/>
      </w:rPr>
    </w:lvl>
    <w:lvl w:ilvl="8">
      <w:start w:val="1"/>
      <w:numFmt w:val="decimal"/>
      <w:lvlText w:val="%1.%2.%3.%4.%5.%6.%7.%8.%9"/>
      <w:lvlJc w:val="left"/>
      <w:pPr>
        <w:ind w:left="7120" w:hanging="1440"/>
      </w:pPr>
      <w:rPr>
        <w:sz w:val="20"/>
        <w:rFonts w:ascii="Arial" w:hAnsi="Arial"/>
        <w:color w:val="000000"/>
      </w:rPr>
    </w:lvl>
  </w:abstractNum>
  <w:abstractNum w:abstractNumId="8">
    <w:lvl w:ilvl="0">
      <w:start w:val="7"/>
      <w:numFmt w:val="decimal"/>
      <w:lvlText w:val="%1."/>
      <w:lvlJc w:val="left"/>
      <w:pPr>
        <w:ind w:left="500" w:hanging="500"/>
      </w:pPr>
    </w:lvl>
    <w:lvl w:ilvl="1">
      <w:start w:val="1"/>
      <w:numFmt w:val="decimal"/>
      <w:lvlText w:val="%1.%2."/>
      <w:lvlJc w:val="left"/>
      <w:pPr>
        <w:ind w:left="854" w:hanging="50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9">
    <w:lvl w:ilvl="0">
      <w:start w:val="7"/>
      <w:numFmt w:val="decimal"/>
      <w:lvlText w:val="%1."/>
      <w:lvlJc w:val="left"/>
      <w:pPr>
        <w:ind w:left="495" w:hanging="495"/>
      </w:pPr>
    </w:lvl>
    <w:lvl w:ilvl="1">
      <w:start w:val="4"/>
      <w:numFmt w:val="decimal"/>
      <w:lvlText w:val="%1.%2."/>
      <w:lvlJc w:val="left"/>
      <w:pPr>
        <w:ind w:left="1345" w:hanging="495"/>
      </w:pPr>
    </w:lvl>
    <w:lvl w:ilvl="2">
      <w:start w:val="5"/>
      <w:numFmt w:val="decimal"/>
      <w:lvlText w:val="%1.%2.%3."/>
      <w:lvlJc w:val="left"/>
      <w:pPr>
        <w:ind w:left="2420" w:hanging="720"/>
      </w:pPr>
    </w:lvl>
    <w:lvl w:ilvl="3">
      <w:start w:val="1"/>
      <w:numFmt w:val="decimal"/>
      <w:lvlText w:val="%1.%2.%3.%4."/>
      <w:lvlJc w:val="left"/>
      <w:pPr>
        <w:ind w:left="3270" w:hanging="720"/>
      </w:pPr>
    </w:lvl>
    <w:lvl w:ilvl="4">
      <w:start w:val="1"/>
      <w:numFmt w:val="decimal"/>
      <w:lvlText w:val="%1.%2.%3.%4.%5."/>
      <w:lvlJc w:val="left"/>
      <w:pPr>
        <w:ind w:left="4480" w:hanging="1080"/>
      </w:pPr>
    </w:lvl>
    <w:lvl w:ilvl="5">
      <w:start w:val="1"/>
      <w:numFmt w:val="decimal"/>
      <w:lvlText w:val="%1.%2.%3.%4.%5.%6."/>
      <w:lvlJc w:val="left"/>
      <w:pPr>
        <w:ind w:left="5330" w:hanging="1080"/>
      </w:pPr>
    </w:lvl>
    <w:lvl w:ilvl="6">
      <w:start w:val="1"/>
      <w:numFmt w:val="decimal"/>
      <w:lvlText w:val="%1.%2.%3.%4.%5.%6.%7."/>
      <w:lvlJc w:val="left"/>
      <w:pPr>
        <w:ind w:left="6540" w:hanging="1440"/>
      </w:pPr>
    </w:lvl>
    <w:lvl w:ilvl="7">
      <w:start w:val="1"/>
      <w:numFmt w:val="decimal"/>
      <w:lvlText w:val="%1.%2.%3.%4.%5.%6.%7.%8."/>
      <w:lvlJc w:val="left"/>
      <w:pPr>
        <w:ind w:left="7390" w:hanging="1440"/>
      </w:pPr>
    </w:lvl>
    <w:lvl w:ilvl="8">
      <w:start w:val="1"/>
      <w:numFmt w:val="decimal"/>
      <w:lvlText w:val="%1.%2.%3.%4.%5.%6.%7.%8.%9."/>
      <w:lvlJc w:val="left"/>
      <w:pPr>
        <w:ind w:left="8600" w:hanging="1800"/>
      </w:pPr>
    </w:lvl>
  </w:abstractNum>
  <w:abstractNum w:abstractNumId="10">
    <w:lvl w:ilvl="0">
      <w:start w:val="7"/>
      <w:numFmt w:val="decimal"/>
      <w:lvlText w:val="%1."/>
      <w:lvlJc w:val="left"/>
      <w:pPr>
        <w:ind w:left="500" w:hanging="500"/>
      </w:pPr>
    </w:lvl>
    <w:lvl w:ilvl="1">
      <w:start w:val="3"/>
      <w:numFmt w:val="decimal"/>
      <w:lvlText w:val="%1.%2."/>
      <w:lvlJc w:val="left"/>
      <w:pPr>
        <w:ind w:left="854" w:hanging="500"/>
      </w:pPr>
    </w:lvl>
    <w:lvl w:ilvl="2">
      <w:start w:val="1"/>
      <w:numFmt w:val="decimal"/>
      <w:lvlText w:val="%1.%2.%3."/>
      <w:lvlJc w:val="left"/>
      <w:pPr>
        <w:ind w:left="1428" w:hanging="720"/>
      </w:pPr>
    </w:lvl>
    <w:lvl w:ilvl="3">
      <w:start w:val="1"/>
      <w:numFmt w:val="decimal"/>
      <w:lvlText w:val="%1.%2.%3.%4."/>
      <w:lvlJc w:val="left"/>
      <w:pPr>
        <w:ind w:left="3130"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1">
    <w:lvl w:ilvl="0">
      <w:start w:val="8"/>
      <w:numFmt w:val="decimal"/>
      <w:lvlText w:val="%1."/>
      <w:lvlJc w:val="left"/>
      <w:pPr>
        <w:ind w:left="360" w:hanging="360"/>
      </w:pPr>
      <w:rPr>
        <w:dstrike w:val="false"/>
        <w:strike w:val="false"/>
        <w:sz w:val="20"/>
        <w:u w:val="none"/>
        <w:b/>
        <w:effect w:val="none"/>
        <w:rFonts w:ascii="Arial" w:hAnsi="Arial"/>
      </w:rPr>
    </w:lvl>
    <w:lvl w:ilvl="1">
      <w:start w:val="1"/>
      <w:numFmt w:val="decimal"/>
      <w:lvlText w:val="%1.%2."/>
      <w:lvlJc w:val="left"/>
      <w:pPr>
        <w:ind w:left="714" w:hanging="36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2">
    <w:lvl w:ilvl="0">
      <w:start w:val="9"/>
      <w:numFmt w:val="decimal"/>
      <w:lvlText w:val="%1."/>
      <w:lvlJc w:val="left"/>
      <w:pPr>
        <w:ind w:left="660" w:hanging="660"/>
      </w:pPr>
    </w:lvl>
    <w:lvl w:ilvl="1">
      <w:start w:val="2"/>
      <w:numFmt w:val="decimal"/>
      <w:lvlText w:val="%1.%2."/>
      <w:lvlJc w:val="left"/>
      <w:pPr>
        <w:ind w:left="1231" w:hanging="660"/>
      </w:pPr>
    </w:lvl>
    <w:lvl w:ilvl="2">
      <w:start w:val="1"/>
      <w:numFmt w:val="decimal"/>
      <w:lvlText w:val="%1.%2.%3."/>
      <w:lvlJc w:val="left"/>
      <w:pPr>
        <w:ind w:left="1862" w:hanging="720"/>
      </w:pPr>
      <w:rPr>
        <w:sz w:val="20"/>
        <w:b/>
        <w:rFonts w:ascii="Arial" w:hAnsi="Arial"/>
      </w:rPr>
    </w:lvl>
    <w:lvl w:ilvl="3">
      <w:start w:val="1"/>
      <w:numFmt w:val="decimal"/>
      <w:lvlText w:val="%1.%2.%3.%4."/>
      <w:lvlJc w:val="left"/>
      <w:pPr>
        <w:ind w:left="2433" w:hanging="720"/>
      </w:pPr>
    </w:lvl>
    <w:lvl w:ilvl="4">
      <w:start w:val="1"/>
      <w:numFmt w:val="decimal"/>
      <w:lvlText w:val="%1.%2.%3.%4.%5."/>
      <w:lvlJc w:val="left"/>
      <w:pPr>
        <w:ind w:left="3364" w:hanging="1080"/>
      </w:pPr>
    </w:lvl>
    <w:lvl w:ilvl="5">
      <w:start w:val="1"/>
      <w:numFmt w:val="decimal"/>
      <w:lvlText w:val="%1.%2.%3.%4.%5.%6."/>
      <w:lvlJc w:val="left"/>
      <w:pPr>
        <w:ind w:left="3935" w:hanging="1080"/>
      </w:pPr>
    </w:lvl>
    <w:lvl w:ilvl="6">
      <w:start w:val="1"/>
      <w:numFmt w:val="decimal"/>
      <w:lvlText w:val="%1.%2.%3.%4.%5.%6.%7."/>
      <w:lvlJc w:val="left"/>
      <w:pPr>
        <w:ind w:left="4866" w:hanging="1440"/>
      </w:pPr>
    </w:lvl>
    <w:lvl w:ilvl="7">
      <w:start w:val="1"/>
      <w:numFmt w:val="decimal"/>
      <w:lvlText w:val="%1.%2.%3.%4.%5.%6.%7.%8."/>
      <w:lvlJc w:val="left"/>
      <w:pPr>
        <w:ind w:left="5437" w:hanging="1440"/>
      </w:pPr>
    </w:lvl>
    <w:lvl w:ilvl="8">
      <w:start w:val="1"/>
      <w:numFmt w:val="decimal"/>
      <w:lvlText w:val="%1.%2.%3.%4.%5.%6.%7.%8.%9."/>
      <w:lvlJc w:val="left"/>
      <w:pPr>
        <w:ind w:left="6368" w:hanging="1800"/>
      </w:pPr>
    </w:lvl>
  </w:abstractNum>
  <w:abstractNum w:abstractNumId="13">
    <w:lvl w:ilvl="0">
      <w:start w:val="9"/>
      <w:numFmt w:val="decimal"/>
      <w:lvlText w:val="%1."/>
      <w:lvlJc w:val="left"/>
      <w:pPr>
        <w:ind w:left="495" w:hanging="495"/>
      </w:pPr>
    </w:lvl>
    <w:lvl w:ilvl="1">
      <w:start w:val="2"/>
      <w:numFmt w:val="decimal"/>
      <w:lvlText w:val="%1.%2."/>
      <w:lvlJc w:val="left"/>
      <w:pPr>
        <w:ind w:left="1351" w:hanging="495"/>
      </w:pPr>
    </w:lvl>
    <w:lvl w:ilvl="2">
      <w:start w:val="1"/>
      <w:numFmt w:val="decimal"/>
      <w:lvlText w:val="%1.%2.%3."/>
      <w:lvlJc w:val="left"/>
      <w:pPr>
        <w:ind w:left="2432" w:hanging="720"/>
      </w:pPr>
    </w:lvl>
    <w:lvl w:ilvl="3">
      <w:start w:val="1"/>
      <w:numFmt w:val="decimal"/>
      <w:lvlText w:val="%1.%2.%3.%4."/>
      <w:lvlJc w:val="left"/>
      <w:pPr>
        <w:ind w:left="3288" w:hanging="720"/>
      </w:pPr>
    </w:lvl>
    <w:lvl w:ilvl="4">
      <w:start w:val="1"/>
      <w:numFmt w:val="decimal"/>
      <w:lvlText w:val="%1.%2.%3.%4.%5."/>
      <w:lvlJc w:val="left"/>
      <w:pPr>
        <w:ind w:left="4504" w:hanging="1080"/>
      </w:pPr>
    </w:lvl>
    <w:lvl w:ilvl="5">
      <w:start w:val="1"/>
      <w:numFmt w:val="decimal"/>
      <w:lvlText w:val="%1.%2.%3.%4.%5.%6."/>
      <w:lvlJc w:val="left"/>
      <w:pPr>
        <w:ind w:left="5360" w:hanging="1080"/>
      </w:pPr>
    </w:lvl>
    <w:lvl w:ilvl="6">
      <w:start w:val="1"/>
      <w:numFmt w:val="decimal"/>
      <w:lvlText w:val="%1.%2.%3.%4.%5.%6.%7."/>
      <w:lvlJc w:val="left"/>
      <w:pPr>
        <w:ind w:left="6576" w:hanging="1440"/>
      </w:pPr>
    </w:lvl>
    <w:lvl w:ilvl="7">
      <w:start w:val="1"/>
      <w:numFmt w:val="decimal"/>
      <w:lvlText w:val="%1.%2.%3.%4.%5.%6.%7.%8."/>
      <w:lvlJc w:val="left"/>
      <w:pPr>
        <w:ind w:left="7432" w:hanging="1440"/>
      </w:pPr>
    </w:lvl>
    <w:lvl w:ilvl="8">
      <w:start w:val="1"/>
      <w:numFmt w:val="decimal"/>
      <w:lvlText w:val="%1.%2.%3.%4.%5.%6.%7.%8.%9."/>
      <w:lvlJc w:val="left"/>
      <w:pPr>
        <w:ind w:left="8648" w:hanging="1800"/>
      </w:pPr>
    </w:lvl>
  </w:abstractNum>
  <w:abstractNum w:abstractNumId="14">
    <w:lvl w:ilvl="0">
      <w:start w:val="9"/>
      <w:numFmt w:val="decimal"/>
      <w:lvlText w:val="%1."/>
      <w:lvlJc w:val="left"/>
      <w:pPr>
        <w:ind w:left="495" w:hanging="495"/>
      </w:pPr>
    </w:lvl>
    <w:lvl w:ilvl="1">
      <w:start w:val="7"/>
      <w:numFmt w:val="decimal"/>
      <w:lvlText w:val="%1.%2."/>
      <w:lvlJc w:val="left"/>
      <w:pPr>
        <w:ind w:left="1062" w:hanging="49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5">
    <w:lvl w:ilvl="0">
      <w:start w:val="9"/>
      <w:numFmt w:val="decimal"/>
      <w:lvlText w:val="%1."/>
      <w:lvlJc w:val="left"/>
      <w:pPr>
        <w:ind w:left="360" w:hanging="360"/>
      </w:pPr>
    </w:lvl>
    <w:lvl w:ilvl="1">
      <w:start w:val="8"/>
      <w:numFmt w:val="decimal"/>
      <w:lvlText w:val="%1.%2."/>
      <w:lvlJc w:val="left"/>
      <w:pPr>
        <w:ind w:left="1494" w:hanging="360"/>
      </w:pPr>
    </w:lvl>
    <w:lvl w:ilvl="2">
      <w:start w:val="1"/>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16">
    <w:lvl w:ilvl="0">
      <w:start w:val="9"/>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7">
    <w:lvl w:ilvl="0">
      <w:start w:val="10"/>
      <w:numFmt w:val="decimal"/>
      <w:lvlText w:val="%1."/>
      <w:lvlJc w:val="left"/>
      <w:pPr>
        <w:ind w:left="435" w:hanging="435"/>
      </w:pPr>
    </w:lvl>
    <w:lvl w:ilvl="1">
      <w:start w:val="1"/>
      <w:numFmt w:val="decimal"/>
      <w:lvlText w:val="%1.%2."/>
      <w:lvlJc w:val="left"/>
      <w:pPr>
        <w:ind w:left="860" w:hanging="435"/>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8">
    <w:lvl w:ilvl="0">
      <w:start w:val="13"/>
      <w:numFmt w:val="decimal"/>
      <w:lvlText w:val="%1."/>
      <w:lvlJc w:val="left"/>
      <w:pPr>
        <w:ind w:left="480" w:hanging="480"/>
      </w:pPr>
    </w:lvl>
    <w:lvl w:ilvl="1">
      <w:start w:val="1"/>
      <w:numFmt w:val="decimal"/>
      <w:lvlText w:val="%1.%2."/>
      <w:lvlJc w:val="left"/>
      <w:pPr>
        <w:ind w:left="1340" w:hanging="480"/>
      </w:pPr>
      <w:rPr>
        <w:sz w:val="20"/>
        <w:b/>
        <w:rFonts w:ascii="Arial" w:hAnsi="Arial"/>
      </w:rPr>
    </w:lvl>
    <w:lvl w:ilvl="2">
      <w:start w:val="1"/>
      <w:numFmt w:val="decimal"/>
      <w:lvlText w:val="%1.%2.%3."/>
      <w:lvlJc w:val="left"/>
      <w:pPr>
        <w:ind w:left="2440" w:hanging="720"/>
      </w:pPr>
    </w:lvl>
    <w:lvl w:ilvl="3">
      <w:start w:val="1"/>
      <w:numFmt w:val="decimal"/>
      <w:lvlText w:val="%1.%2.%3.%4."/>
      <w:lvlJc w:val="left"/>
      <w:pPr>
        <w:ind w:left="3300" w:hanging="720"/>
      </w:pPr>
    </w:lvl>
    <w:lvl w:ilvl="4">
      <w:start w:val="1"/>
      <w:numFmt w:val="decimal"/>
      <w:lvlText w:val="%1.%2.%3.%4.%5."/>
      <w:lvlJc w:val="left"/>
      <w:pPr>
        <w:ind w:left="4520" w:hanging="1080"/>
      </w:pPr>
    </w:lvl>
    <w:lvl w:ilvl="5">
      <w:start w:val="1"/>
      <w:numFmt w:val="decimal"/>
      <w:lvlText w:val="%1.%2.%3.%4.%5.%6."/>
      <w:lvlJc w:val="left"/>
      <w:pPr>
        <w:ind w:left="5380" w:hanging="1080"/>
      </w:pPr>
    </w:lvl>
    <w:lvl w:ilvl="6">
      <w:start w:val="1"/>
      <w:numFmt w:val="decimal"/>
      <w:lvlText w:val="%1.%2.%3.%4.%5.%6.%7."/>
      <w:lvlJc w:val="left"/>
      <w:pPr>
        <w:ind w:left="6600" w:hanging="1440"/>
      </w:pPr>
    </w:lvl>
    <w:lvl w:ilvl="7">
      <w:start w:val="1"/>
      <w:numFmt w:val="decimal"/>
      <w:lvlText w:val="%1.%2.%3.%4.%5.%6.%7.%8."/>
      <w:lvlJc w:val="left"/>
      <w:pPr>
        <w:ind w:left="7460" w:hanging="1440"/>
      </w:pPr>
    </w:lvl>
    <w:lvl w:ilvl="8">
      <w:start w:val="1"/>
      <w:numFmt w:val="decimal"/>
      <w:lvlText w:val="%1.%2.%3.%4.%5.%6.%7.%8.%9."/>
      <w:lvlJc w:val="left"/>
      <w:pPr>
        <w:ind w:left="8680" w:hanging="1800"/>
      </w:pPr>
    </w:lvl>
  </w:abstractNum>
  <w:abstractNum w:abstractNumId="19">
    <w:lvl w:ilvl="0">
      <w:start w:val="18"/>
      <w:numFmt w:val="decimal"/>
      <w:lvlText w:val="%1."/>
      <w:lvlJc w:val="left"/>
      <w:pPr>
        <w:ind w:left="480" w:hanging="480"/>
      </w:pPr>
    </w:lvl>
    <w:lvl w:ilvl="1">
      <w:start w:val="1"/>
      <w:numFmt w:val="decimal"/>
      <w:lvlText w:val="%1.%2."/>
      <w:lvlJc w:val="left"/>
      <w:pPr>
        <w:ind w:left="1571"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20">
    <w:lvl w:ilvl="0">
      <w:start w:val="18"/>
      <w:numFmt w:val="decimal"/>
      <w:lvlText w:val="%1."/>
      <w:lvlJc w:val="left"/>
      <w:pPr>
        <w:ind w:left="600" w:hanging="600"/>
      </w:pPr>
    </w:lvl>
    <w:lvl w:ilvl="1">
      <w:start w:val="3"/>
      <w:numFmt w:val="decimal"/>
      <w:lvlText w:val="%1.%2."/>
      <w:lvlJc w:val="left"/>
      <w:pPr>
        <w:ind w:left="1320" w:hanging="600"/>
      </w:pPr>
    </w:lvl>
    <w:lvl w:ilvl="2">
      <w:start w:val="2"/>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1">
    <w:lvl w:ilvl="0">
      <w:start w:val="18"/>
      <w:numFmt w:val="decimal"/>
      <w:lvlText w:val="%1."/>
      <w:lvlJc w:val="left"/>
      <w:pPr>
        <w:ind w:left="540" w:hanging="540"/>
      </w:pPr>
    </w:lvl>
    <w:lvl w:ilvl="1">
      <w:start w:val="10"/>
      <w:numFmt w:val="decimal"/>
      <w:lvlText w:val="%1.%2."/>
      <w:lvlJc w:val="left"/>
      <w:pPr>
        <w:ind w:left="2111" w:hanging="540"/>
      </w:pPr>
    </w:lvl>
    <w:lvl w:ilvl="2">
      <w:start w:val="1"/>
      <w:numFmt w:val="decimal"/>
      <w:lvlText w:val="%1.%2.%3."/>
      <w:lvlJc w:val="left"/>
      <w:pPr>
        <w:ind w:left="3862" w:hanging="720"/>
      </w:pPr>
    </w:lvl>
    <w:lvl w:ilvl="3">
      <w:start w:val="1"/>
      <w:numFmt w:val="decimal"/>
      <w:lvlText w:val="%1.%2.%3.%4."/>
      <w:lvlJc w:val="left"/>
      <w:pPr>
        <w:ind w:left="5433" w:hanging="720"/>
      </w:pPr>
    </w:lvl>
    <w:lvl w:ilvl="4">
      <w:start w:val="1"/>
      <w:numFmt w:val="decimal"/>
      <w:lvlText w:val="%1.%2.%3.%4.%5."/>
      <w:lvlJc w:val="left"/>
      <w:pPr>
        <w:ind w:left="7364" w:hanging="1080"/>
      </w:pPr>
    </w:lvl>
    <w:lvl w:ilvl="5">
      <w:start w:val="1"/>
      <w:numFmt w:val="decimal"/>
      <w:lvlText w:val="%1.%2.%3.%4.%5.%6."/>
      <w:lvlJc w:val="left"/>
      <w:pPr>
        <w:ind w:left="8935" w:hanging="1080"/>
      </w:pPr>
    </w:lvl>
    <w:lvl w:ilvl="6">
      <w:start w:val="1"/>
      <w:numFmt w:val="decimal"/>
      <w:lvlText w:val="%1.%2.%3.%4.%5.%6.%7."/>
      <w:lvlJc w:val="left"/>
      <w:pPr>
        <w:ind w:left="10866" w:hanging="1440"/>
      </w:pPr>
    </w:lvl>
    <w:lvl w:ilvl="7">
      <w:start w:val="1"/>
      <w:numFmt w:val="decimal"/>
      <w:lvlText w:val="%1.%2.%3.%4.%5.%6.%7.%8."/>
      <w:lvlJc w:val="left"/>
      <w:pPr>
        <w:ind w:left="12437" w:hanging="1440"/>
      </w:pPr>
    </w:lvl>
    <w:lvl w:ilvl="8">
      <w:start w:val="1"/>
      <w:numFmt w:val="decimal"/>
      <w:lvlText w:val="%1.%2.%3.%4.%5.%6.%7.%8.%9."/>
      <w:lvlJc w:val="left"/>
      <w:pPr>
        <w:ind w:left="14368" w:hanging="1800"/>
      </w:pPr>
    </w:lvl>
  </w:abstractNum>
  <w:abstractNum w:abstractNumId="22">
    <w:lvl w:ilvl="0">
      <w:start w:val="1"/>
      <w:numFmt w:val="upperRoman"/>
      <w:lvlText w:val="%1."/>
      <w:lvlJc w:val="left"/>
      <w:pPr>
        <w:tabs>
          <w:tab w:val="num" w:pos="720"/>
        </w:tabs>
        <w:ind w:left="720" w:hanging="180"/>
      </w:pPr>
      <w:rPr>
        <w:sz w:val="20"/>
        <w:i w:val="false"/>
        <w:b w:val="false"/>
        <w:szCs w:val="22"/>
        <w:rFonts w:ascii="Arial" w:hAnsi="Arial"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decimal"/>
      <w:lvlText w:val="%1."/>
      <w:lvlJc w:val="left"/>
      <w:pPr>
        <w:ind w:left="360" w:hanging="360"/>
      </w:pPr>
      <w:rPr>
        <w:sz w:val="20"/>
        <w:i w:val="false"/>
        <w:b/>
        <w:szCs w:val="20"/>
        <w:iCs w:val="false"/>
        <w:bCs w:val="false"/>
        <w:vanish/>
        <w:rFonts w:ascii="Arial" w:hAnsi="Arial" w:eastAsia="ＭＳ ゴシック" w:cs="Arial"/>
      </w:rPr>
    </w:lvl>
    <w:lvl w:ilvl="1">
      <w:start w:val="1"/>
      <w:numFmt w:val="decimal"/>
      <w:lvlText w:val="%1.%2."/>
      <w:lvlJc w:val="left"/>
      <w:pPr>
        <w:ind w:left="1141" w:hanging="432"/>
      </w:pPr>
      <w:rPr>
        <w:sz w:val="20"/>
        <w:i w:val="false"/>
        <w:b w:val="false"/>
        <w:szCs w:val="20"/>
        <w:iCs w:val="false"/>
        <w:bCs/>
        <w:vanish/>
        <w:rFonts w:ascii="Arial" w:hAnsi="Arial" w:eastAsia="Zurich BT" w:cs="Arial"/>
        <w:lang w:eastAsia="en-US"/>
      </w:rPr>
    </w:lvl>
    <w:lvl w:ilvl="2">
      <w:start w:val="1"/>
      <w:numFmt w:val="decimal"/>
      <w:lvlText w:val="%1.%2.%3"/>
      <w:lvlJc w:val="left"/>
      <w:pPr>
        <w:ind w:left="1922" w:hanging="504"/>
      </w:pPr>
      <w:rPr>
        <w:sz w:val="20"/>
        <w:i w:val="false"/>
        <w:b/>
        <w:szCs w:val="20"/>
        <w:iCs w:val="false"/>
        <w:bCs/>
        <w:rFonts w:ascii="Arial" w:hAnsi="Arial" w:eastAsia="Times New Roman" w:cs="Arial"/>
        <w:color w:val="00000A"/>
        <w:lang w:eastAsia="en-U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w="http://schemas.openxmlformats.org/wordprocessingml/2006/main">
  <w:zoom w:percent="100"/>
  <w:mirrorMargins/>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d2e66"/>
    <w:pPr>
      <w:widowControl w:val="false"/>
      <w:suppressAutoHyphens w:val="true"/>
      <w:bidi w:val="0"/>
      <w:jc w:val="left"/>
    </w:pPr>
    <w:rPr>
      <w:rFonts w:ascii="Times New Roman" w:hAnsi="Times New Roman" w:eastAsia="Arial Unicode MS" w:cs="Times New Roman"/>
      <w:color w:val="00000A"/>
      <w:sz w:val="24"/>
      <w:szCs w:val="20"/>
      <w:lang w:val="pt-BR" w:eastAsia="pt-BR" w:bidi="ar-SA"/>
    </w:rPr>
  </w:style>
  <w:style w:type="paragraph" w:styleId="Ttulo1">
    <w:name w:val="Título 1"/>
    <w:basedOn w:val="Normal"/>
    <w:next w:val="Normal"/>
    <w:link w:val="Ttulo1Char"/>
    <w:qFormat/>
    <w:rsid w:val="004130ce"/>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2">
    <w:name w:val="Título 2"/>
    <w:basedOn w:val="Normal"/>
    <w:next w:val="Normal"/>
    <w:qFormat/>
    <w:rsid w:val="006d2e66"/>
    <w:pPr>
      <w:keepNext/>
      <w:jc w:val="both"/>
      <w:outlineLvl w:val="1"/>
    </w:pPr>
    <w:rPr>
      <w:b/>
      <w:bCs/>
    </w:rPr>
  </w:style>
  <w:style w:type="paragraph" w:styleId="Ttulo3">
    <w:name w:val="Título 3"/>
    <w:basedOn w:val="Normal"/>
    <w:next w:val="Normal"/>
    <w:qFormat/>
    <w:rsid w:val="006d2e66"/>
    <w:pPr>
      <w:keepNext/>
      <w:tabs>
        <w:tab w:val="left" w:pos="8820" w:leader="none"/>
      </w:tabs>
      <w:ind w:right="18" w:hanging="0"/>
      <w:jc w:val="both"/>
      <w:outlineLvl w:val="2"/>
    </w:pPr>
    <w:rPr>
      <w:b/>
    </w:rPr>
  </w:style>
  <w:style w:type="paragraph" w:styleId="Ttulo4">
    <w:name w:val="Título 4"/>
    <w:basedOn w:val="Normal"/>
    <w:next w:val="Normal"/>
    <w:qFormat/>
    <w:rsid w:val="006d2e66"/>
    <w:pPr>
      <w:keepNext/>
      <w:shd w:val="clear" w:color="auto" w:fill="FFFFFF"/>
      <w:jc w:val="both"/>
      <w:outlineLvl w:val="3"/>
    </w:pPr>
    <w:rPr>
      <w:b/>
    </w:rPr>
  </w:style>
  <w:style w:type="paragraph" w:styleId="Ttulo7">
    <w:name w:val="Título 7"/>
    <w:basedOn w:val="Normal"/>
    <w:next w:val="Normal"/>
    <w:pPr>
      <w:keepNext/>
      <w:jc w:val="center"/>
      <w:outlineLvl w:val="6"/>
    </w:pPr>
    <w:rPr>
      <w:color w:val="000000"/>
      <w:sz w:val="32"/>
    </w:rPr>
  </w:style>
  <w:style w:type="character" w:styleId="DefaultParagraphFont" w:default="1">
    <w:name w:val="Default Paragraph Font"/>
    <w:uiPriority w:val="1"/>
    <w:semiHidden/>
    <w:unhideWhenUsed/>
    <w:qFormat/>
    <w:rPr/>
  </w:style>
  <w:style w:type="character" w:styleId="WWCaracteresdeNotadeRodap121" w:customStyle="1">
    <w:name w:val="WW-Caracteres de Nota de Rodapé121"/>
    <w:qFormat/>
    <w:rsid w:val="006d2e66"/>
    <w:rPr>
      <w:vertAlign w:val="superscript"/>
    </w:rPr>
  </w:style>
  <w:style w:type="character" w:styleId="CaracteresdeNotadeRodap" w:customStyle="1">
    <w:name w:val="Caracteres de Nota de Rodapé"/>
    <w:qFormat/>
    <w:rsid w:val="006d2e66"/>
    <w:rPr/>
  </w:style>
  <w:style w:type="character" w:styleId="GradeColoridanfase1Char" w:customStyle="1">
    <w:name w:val="Grade Colorida - Ênfase 1 Char"/>
    <w:link w:val="GradeColorida-nfase11"/>
    <w:uiPriority w:val="29"/>
    <w:qFormat/>
    <w:rsid w:val="00947f8b"/>
    <w:rPr>
      <w:rFonts w:ascii="Ecofont_Spranq_eco_Sans" w:hAnsi="Ecofont_Spranq_eco_Sans" w:eastAsia="Calibri" w:cs="Tahoma"/>
      <w:i/>
      <w:iCs/>
      <w:color w:val="000000"/>
      <w:szCs w:val="24"/>
      <w:lang w:val="pt-BR" w:eastAsia="en-US" w:bidi="ar-SA"/>
    </w:rPr>
  </w:style>
  <w:style w:type="character" w:styleId="LinkdaInternet">
    <w:name w:val="Link da Internet"/>
    <w:rsid w:val="005534cb"/>
    <w:rPr>
      <w:color w:val="0000FF"/>
      <w:u w:val="single"/>
    </w:rPr>
  </w:style>
  <w:style w:type="character" w:styleId="Recuodecorpodetexto3Char" w:customStyle="1">
    <w:name w:val="Recuo de corpo de texto 3 Char"/>
    <w:link w:val="Recuodecorpodetexto3"/>
    <w:qFormat/>
    <w:rsid w:val="00645e8a"/>
    <w:rPr>
      <w:rFonts w:eastAsia="Arial Unicode MS"/>
      <w:sz w:val="16"/>
      <w:szCs w:val="16"/>
    </w:rPr>
  </w:style>
  <w:style w:type="character" w:styleId="RodapChar" w:customStyle="1">
    <w:name w:val="Rodapé Char"/>
    <w:basedOn w:val="DefaultParagraphFont"/>
    <w:link w:val="Rodap"/>
    <w:qFormat/>
    <w:rsid w:val="006c78e5"/>
    <w:rPr>
      <w:rFonts w:eastAsia="Arial Unicode MS"/>
      <w:sz w:val="24"/>
    </w:rPr>
  </w:style>
  <w:style w:type="character" w:styleId="Manoel" w:customStyle="1">
    <w:name w:val="Manoel"/>
    <w:qFormat/>
    <w:rsid w:val="00eb25c8"/>
    <w:rPr>
      <w:rFonts w:ascii="Arial" w:hAnsi="Arial" w:cs="Arial"/>
      <w:color w:val="7030A0"/>
      <w:sz w:val="20"/>
    </w:rPr>
  </w:style>
  <w:style w:type="character" w:styleId="CitaoChar" w:customStyle="1">
    <w:name w:val="Citação Char"/>
    <w:basedOn w:val="DefaultParagraphFont"/>
    <w:link w:val="Citao"/>
    <w:uiPriority w:val="29"/>
    <w:qFormat/>
    <w:rsid w:val="00c56126"/>
    <w:rPr>
      <w:rFonts w:ascii="Ecofont_Spranq_eco_Sans" w:hAnsi="Ecofont_Spranq_eco_Sans" w:eastAsia="Calibri" w:cs="Tahoma"/>
      <w:i/>
      <w:iCs/>
      <w:color w:val="000000"/>
      <w:szCs w:val="24"/>
      <w:shd w:fill="FFFFCC" w:val="clear"/>
      <w:lang w:eastAsia="en-US"/>
    </w:rPr>
  </w:style>
  <w:style w:type="character" w:styleId="Annotationreference">
    <w:name w:val="annotation reference"/>
    <w:basedOn w:val="DefaultParagraphFont"/>
    <w:unhideWhenUsed/>
    <w:qFormat/>
    <w:rsid w:val="00b45276"/>
    <w:rPr>
      <w:sz w:val="16"/>
      <w:szCs w:val="16"/>
    </w:rPr>
  </w:style>
  <w:style w:type="character" w:styleId="TextodecomentrioChar" w:customStyle="1">
    <w:name w:val="Texto de comentário Char"/>
    <w:basedOn w:val="DefaultParagraphFont"/>
    <w:link w:val="Textodecomentrio"/>
    <w:qFormat/>
    <w:rsid w:val="00b45276"/>
    <w:rPr>
      <w:rFonts w:eastAsia="Arial Unicode MS"/>
    </w:rPr>
  </w:style>
  <w:style w:type="character" w:styleId="AssuntodocomentrioChar" w:customStyle="1">
    <w:name w:val="Assunto do comentário Char"/>
    <w:basedOn w:val="TextodecomentrioChar"/>
    <w:link w:val="Assuntodocomentrio"/>
    <w:semiHidden/>
    <w:qFormat/>
    <w:rsid w:val="00b45276"/>
    <w:rPr>
      <w:rFonts w:eastAsia="Arial Unicode MS"/>
      <w:b/>
      <w:bCs/>
    </w:rPr>
  </w:style>
  <w:style w:type="character" w:styleId="CorpodetextoChar" w:customStyle="1">
    <w:name w:val="Corpo de texto Char"/>
    <w:link w:val="Corpodetexto"/>
    <w:qFormat/>
    <w:rsid w:val="00c84eeb"/>
    <w:rPr>
      <w:rFonts w:eastAsia="Arial Unicode MS"/>
      <w:sz w:val="24"/>
    </w:rPr>
  </w:style>
  <w:style w:type="character" w:styleId="WW8Num8z1" w:customStyle="1">
    <w:name w:val="WW8Num8z1"/>
    <w:qFormat/>
    <w:rsid w:val="000e006c"/>
    <w:rPr>
      <w:i w:val="false"/>
    </w:rPr>
  </w:style>
  <w:style w:type="character" w:styleId="Refdecomentrio2" w:customStyle="1">
    <w:name w:val="Ref. de comentário2"/>
    <w:qFormat/>
    <w:rsid w:val="00e22eb4"/>
    <w:rPr>
      <w:sz w:val="16"/>
      <w:szCs w:val="16"/>
    </w:rPr>
  </w:style>
  <w:style w:type="character" w:styleId="Nivel2Char" w:customStyle="1">
    <w:name w:val="Nivel 2 Char"/>
    <w:basedOn w:val="DefaultParagraphFont"/>
    <w:link w:val="Nivel2"/>
    <w:qFormat/>
    <w:rsid w:val="00c06dba"/>
    <w:rPr>
      <w:rFonts w:ascii="Ecofont_Spranq_eco_Sans" w:hAnsi="Ecofont_Spranq_eco_Sans" w:eastAsia="Arial Unicode MS"/>
    </w:rPr>
  </w:style>
  <w:style w:type="character" w:styleId="Nivel1Char" w:customStyle="1">
    <w:name w:val="Nivel 1 Char"/>
    <w:basedOn w:val="Nivel2Char"/>
    <w:link w:val="Nivel1"/>
    <w:qFormat/>
    <w:rsid w:val="0032466e"/>
    <w:rPr>
      <w:rFonts w:ascii="Ecofont_Spranq_eco_Sans" w:hAnsi="Ecofont_Spranq_eco_Sans" w:eastAsia="Arial Unicode MS" w:cs="Arial"/>
      <w:b/>
    </w:rPr>
  </w:style>
  <w:style w:type="character" w:styleId="Nivel3Char" w:customStyle="1">
    <w:name w:val="Nivel 3 Char"/>
    <w:basedOn w:val="Nivel2Char"/>
    <w:link w:val="Nivel3"/>
    <w:qFormat/>
    <w:rsid w:val="00c06dba"/>
    <w:rPr>
      <w:rFonts w:ascii="Ecofont_Spranq_eco_Sans" w:hAnsi="Ecofont_Spranq_eco_Sans" w:eastAsia="Arial Unicode MS" w:cs="Arial"/>
      <w:color w:val="000000"/>
    </w:rPr>
  </w:style>
  <w:style w:type="character" w:styleId="Nivel4Char" w:customStyle="1">
    <w:name w:val="Nivel 4 Char"/>
    <w:basedOn w:val="Nivel3Char"/>
    <w:link w:val="Nivel4"/>
    <w:qFormat/>
    <w:rsid w:val="0052053d"/>
    <w:rPr>
      <w:rFonts w:ascii="Ecofont_Spranq_eco_Sans" w:hAnsi="Ecofont_Spranq_eco_Sans" w:eastAsia="Arial Unicode MS" w:cs="Arial"/>
      <w:color w:val="000000"/>
    </w:rPr>
  </w:style>
  <w:style w:type="character" w:styleId="Nivel5Char" w:customStyle="1">
    <w:name w:val="Nivel 5 Char"/>
    <w:basedOn w:val="Nivel4Char"/>
    <w:link w:val="Nivel5"/>
    <w:qFormat/>
    <w:rsid w:val="0052053d"/>
    <w:rPr>
      <w:rFonts w:ascii="Ecofont_Spranq_eco_Sans" w:hAnsi="Ecofont_Spranq_eco_Sans" w:eastAsia="Arial Unicode MS" w:cs="Arial"/>
      <w:color w:val="000000"/>
    </w:rPr>
  </w:style>
  <w:style w:type="character" w:styleId="QuoteChar" w:customStyle="1">
    <w:name w:val="Quote Char"/>
    <w:basedOn w:val="DefaultParagraphFont"/>
    <w:link w:val="Citao1"/>
    <w:qFormat/>
    <w:rsid w:val="00491338"/>
    <w:rPr>
      <w:rFonts w:ascii="Ecofont_Spranq_eco_Sans" w:hAnsi="Ecofont_Spranq_eco_Sans" w:eastAsia="Calibri"/>
      <w:i/>
      <w:iCs/>
      <w:color w:val="000000"/>
      <w:szCs w:val="24"/>
      <w:shd w:fill="FFFFCC" w:val="clear"/>
      <w:lang w:val="x-none" w:eastAsia="zh-CN"/>
    </w:rPr>
  </w:style>
  <w:style w:type="character" w:styleId="Normaltextrun" w:customStyle="1">
    <w:name w:val="normaltextrun"/>
    <w:basedOn w:val="DefaultParagraphFont"/>
    <w:qFormat/>
    <w:rsid w:val="00491338"/>
    <w:rPr/>
  </w:style>
  <w:style w:type="character" w:styleId="Eop" w:customStyle="1">
    <w:name w:val="eop"/>
    <w:basedOn w:val="DefaultParagraphFont"/>
    <w:qFormat/>
    <w:rsid w:val="00491338"/>
    <w:rPr/>
  </w:style>
  <w:style w:type="character" w:styleId="Spellingerror" w:customStyle="1">
    <w:name w:val="spellingerror"/>
    <w:basedOn w:val="DefaultParagraphFont"/>
    <w:qFormat/>
    <w:rsid w:val="00491338"/>
    <w:rPr/>
  </w:style>
  <w:style w:type="character" w:styleId="Ttulo1Char" w:customStyle="1">
    <w:name w:val="Título 1 Char"/>
    <w:basedOn w:val="DefaultParagraphFont"/>
    <w:link w:val="Ttulo1"/>
    <w:qFormat/>
    <w:rsid w:val="004130ce"/>
    <w:rPr>
      <w:rFonts w:ascii="Cambria" w:hAnsi="Cambria" w:eastAsia="" w:cs="" w:asciiTheme="majorHAnsi" w:cstheme="majorBidi" w:eastAsiaTheme="majorEastAsia" w:hAnsiTheme="majorHAnsi"/>
      <w:b/>
      <w:bCs/>
      <w:color w:val="365F91" w:themeColor="accent1" w:themeShade="bf"/>
      <w:sz w:val="28"/>
      <w:szCs w:val="28"/>
    </w:rPr>
  </w:style>
  <w:style w:type="character" w:styleId="Citao2Char" w:customStyle="1">
    <w:name w:val="citação 2 Char"/>
    <w:basedOn w:val="CitaoChar"/>
    <w:link w:val="citao2"/>
    <w:qFormat/>
    <w:rsid w:val="00c06a69"/>
    <w:rPr>
      <w:rFonts w:ascii="Ecofont_Spranq_eco_Sans" w:hAnsi="Ecofont_Spranq_eco_Sans" w:eastAsia="Calibri" w:cs="Tahoma"/>
      <w:i/>
      <w:iCs/>
      <w:color w:val="000000"/>
      <w:szCs w:val="24"/>
      <w:shd w:fill="FFFFCC" w:val="clear"/>
      <w:lang w:eastAsia="en-US"/>
    </w:rPr>
  </w:style>
  <w:style w:type="character" w:styleId="Nivel01Char" w:customStyle="1">
    <w:name w:val="Nivel 01 Char"/>
    <w:basedOn w:val="Ttulo1Char"/>
    <w:link w:val="Nivel01"/>
    <w:qFormat/>
    <w:rsid w:val="00c06a69"/>
    <w:rPr>
      <w:rFonts w:ascii="Ecofont_Spranq_eco_Sans" w:hAnsi="Ecofont_Spranq_eco_Sans" w:eastAsia="" w:cs="" w:cstheme="majorBidi" w:eastAsiaTheme="majorEastAsia"/>
      <w:b/>
      <w:bCs/>
      <w:color w:val="000000"/>
      <w:sz w:val="28"/>
      <w:szCs w:val="28"/>
    </w:rPr>
  </w:style>
  <w:style w:type="character" w:styleId="ListLabel1">
    <w:name w:val="ListLabel 1"/>
    <w:qFormat/>
    <w:rPr>
      <w:b/>
      <w:i w:val="false"/>
      <w:strike w:val="false"/>
      <w:dstrike w:val="false"/>
    </w:rPr>
  </w:style>
  <w:style w:type="character" w:styleId="ListLabel2">
    <w:name w:val="ListLabel 2"/>
    <w:qFormat/>
    <w:rPr>
      <w:rFonts w:ascii="Arial" w:hAnsi="Arial"/>
      <w:b/>
      <w:strike w:val="false"/>
      <w:dstrike w:val="false"/>
    </w:rPr>
  </w:style>
  <w:style w:type="character" w:styleId="ListLabel3">
    <w:name w:val="ListLabel 3"/>
    <w:qFormat/>
    <w:rPr>
      <w:i w:val="false"/>
      <w:strike w:val="false"/>
      <w:dstrike w:val="false"/>
      <w:color w:val="00000A"/>
    </w:rPr>
  </w:style>
  <w:style w:type="character" w:styleId="ListLabel4">
    <w:name w:val="ListLabel 4"/>
    <w:qFormat/>
    <w:rPr>
      <w:rFonts w:ascii="Arial" w:hAnsi="Arial"/>
      <w:b w:val="false"/>
      <w:i w:val="false"/>
      <w:strike w:val="false"/>
      <w:dstrike w:val="false"/>
      <w:color w:val="00000A"/>
      <w:sz w:val="20"/>
      <w:u w:val="none"/>
      <w:effect w:val="none"/>
    </w:rPr>
  </w:style>
  <w:style w:type="character" w:styleId="ListLabel5">
    <w:name w:val="ListLabel 5"/>
    <w:qFormat/>
    <w:rPr>
      <w:sz w:val="20"/>
      <w:szCs w:val="20"/>
    </w:rPr>
  </w:style>
  <w:style w:type="character" w:styleId="ListLabel6">
    <w:name w:val="ListLabel 6"/>
    <w:qFormat/>
    <w:rPr>
      <w:i w:val="false"/>
      <w:color w:val="00000A"/>
    </w:rPr>
  </w:style>
  <w:style w:type="character" w:styleId="ListLabel7">
    <w:name w:val="ListLabel 7"/>
    <w:qFormat/>
    <w:rPr>
      <w:rFonts w:ascii="Arial" w:hAnsi="Arial"/>
      <w:b/>
      <w:sz w:val="20"/>
    </w:rPr>
  </w:style>
  <w:style w:type="character" w:styleId="ListLabel8">
    <w:name w:val="ListLabel 8"/>
    <w:qFormat/>
    <w:rPr>
      <w:rFonts w:ascii="Arial" w:hAnsi="Arial" w:cs="Arial"/>
      <w:b/>
      <w:i w:val="false"/>
      <w:strike w:val="false"/>
      <w:dstrike w:val="false"/>
      <w:color w:val="00000A"/>
      <w:sz w:val="20"/>
      <w:szCs w:val="20"/>
      <w:u w:val="none"/>
    </w:rPr>
  </w:style>
  <w:style w:type="character" w:styleId="ListLabel9">
    <w:name w:val="ListLabel 9"/>
    <w:qFormat/>
    <w:rPr>
      <w:rFonts w:ascii="Arial" w:hAnsi="Arial" w:cs="Arial"/>
      <w:b w:val="false"/>
      <w:i w:val="false"/>
      <w:color w:val="00000A"/>
      <w:sz w:val="20"/>
      <w:szCs w:val="20"/>
    </w:rPr>
  </w:style>
  <w:style w:type="character" w:styleId="ListLabel10">
    <w:name w:val="ListLabel 10"/>
    <w:qFormat/>
    <w:rPr>
      <w:rFonts w:ascii="Arial" w:hAnsi="Arial"/>
      <w:b/>
      <w:i/>
      <w:color w:val="FF0000"/>
      <w:sz w:val="20"/>
    </w:rPr>
  </w:style>
  <w:style w:type="character" w:styleId="ListLabel11">
    <w:name w:val="ListLabel 11"/>
    <w:qFormat/>
    <w:rPr>
      <w:rFonts w:ascii="Arial" w:hAnsi="Arial"/>
      <w:color w:val="000000"/>
      <w:sz w:val="20"/>
    </w:rPr>
  </w:style>
  <w:style w:type="character" w:styleId="ListLabel12">
    <w:name w:val="ListLabel 12"/>
    <w:qFormat/>
    <w:rPr>
      <w:rFonts w:ascii="Arial" w:hAnsi="Arial"/>
      <w:b/>
      <w:strike w:val="false"/>
      <w:dstrike w:val="false"/>
      <w:sz w:val="20"/>
      <w:u w:val="none"/>
      <w:effect w:val="none"/>
    </w:rPr>
  </w:style>
  <w:style w:type="character" w:styleId="ListLabel13">
    <w:name w:val="ListLabel 13"/>
    <w:qFormat/>
    <w:rPr>
      <w:rFonts w:ascii="Arial" w:hAnsi="Arial"/>
      <w:b/>
      <w:sz w:val="20"/>
    </w:rPr>
  </w:style>
  <w:style w:type="character" w:styleId="ListLabel14">
    <w:name w:val="ListLabel 14"/>
    <w:qFormat/>
    <w:rPr>
      <w:b w:val="false"/>
      <w:color w:val="00000A"/>
    </w:rPr>
  </w:style>
  <w:style w:type="character" w:styleId="ListLabel15">
    <w:name w:val="ListLabel 15"/>
    <w:qFormat/>
    <w:rPr>
      <w:rFonts w:ascii="Arial" w:hAnsi="Arial"/>
      <w:b/>
      <w:i w:val="false"/>
      <w:strike w:val="false"/>
      <w:dstrike w:val="false"/>
    </w:rPr>
  </w:style>
  <w:style w:type="character" w:styleId="ListLabel16">
    <w:name w:val="ListLabel 16"/>
    <w:qFormat/>
    <w:rPr>
      <w:rFonts w:ascii="Arial" w:hAnsi="Arial"/>
      <w:b/>
      <w:strike w:val="false"/>
      <w:dstrike w:val="false"/>
    </w:rPr>
  </w:style>
  <w:style w:type="character" w:styleId="ListLabel17">
    <w:name w:val="ListLabel 17"/>
    <w:qFormat/>
    <w:rPr>
      <w:rFonts w:ascii="Arial" w:hAnsi="Arial"/>
      <w:b/>
      <w:i w:val="false"/>
      <w:strike w:val="false"/>
      <w:dstrike w:val="false"/>
      <w:color w:val="00000A"/>
    </w:rPr>
  </w:style>
  <w:style w:type="character" w:styleId="ListLabel18">
    <w:name w:val="ListLabel 18"/>
    <w:qFormat/>
    <w:rPr>
      <w:rFonts w:ascii="Arial" w:hAnsi="Arial"/>
      <w:b w:val="false"/>
      <w:i w:val="false"/>
      <w:strike w:val="false"/>
      <w:dstrike w:val="false"/>
      <w:color w:val="00000A"/>
      <w:sz w:val="20"/>
      <w:u w:val="none"/>
      <w:effect w:val="none"/>
    </w:rPr>
  </w:style>
  <w:style w:type="character" w:styleId="ListLabel19">
    <w:name w:val="ListLabel 19"/>
    <w:qFormat/>
    <w:rPr>
      <w:sz w:val="20"/>
      <w:szCs w:val="20"/>
    </w:rPr>
  </w:style>
  <w:style w:type="character" w:styleId="ListLabel20">
    <w:name w:val="ListLabel 20"/>
    <w:qFormat/>
    <w:rPr>
      <w:i w:val="false"/>
      <w:color w:val="00000A"/>
    </w:rPr>
  </w:style>
  <w:style w:type="character" w:styleId="ListLabel21">
    <w:name w:val="ListLabel 21"/>
    <w:qFormat/>
    <w:rPr>
      <w:rFonts w:ascii="Arial" w:hAnsi="Arial"/>
      <w:b/>
      <w:sz w:val="20"/>
    </w:rPr>
  </w:style>
  <w:style w:type="character" w:styleId="ListLabel22">
    <w:name w:val="ListLabel 22"/>
    <w:qFormat/>
    <w:rPr>
      <w:rFonts w:ascii="Arial" w:hAnsi="Arial" w:cs="Arial"/>
      <w:b/>
      <w:i w:val="false"/>
      <w:strike w:val="false"/>
      <w:dstrike w:val="false"/>
      <w:color w:val="00000A"/>
      <w:sz w:val="20"/>
      <w:szCs w:val="20"/>
      <w:u w:val="none"/>
    </w:rPr>
  </w:style>
  <w:style w:type="character" w:styleId="ListLabel23">
    <w:name w:val="ListLabel 23"/>
    <w:qFormat/>
    <w:rPr>
      <w:rFonts w:ascii="Arial" w:hAnsi="Arial" w:cs="Arial"/>
      <w:b w:val="false"/>
      <w:i w:val="false"/>
      <w:color w:val="00000A"/>
      <w:sz w:val="20"/>
      <w:szCs w:val="20"/>
    </w:rPr>
  </w:style>
  <w:style w:type="character" w:styleId="ListLabel24">
    <w:name w:val="ListLabel 24"/>
    <w:qFormat/>
    <w:rPr>
      <w:rFonts w:ascii="Arial" w:hAnsi="Arial"/>
      <w:b/>
      <w:i/>
      <w:color w:val="FF0000"/>
      <w:sz w:val="20"/>
    </w:rPr>
  </w:style>
  <w:style w:type="character" w:styleId="ListLabel25">
    <w:name w:val="ListLabel 25"/>
    <w:qFormat/>
    <w:rPr>
      <w:rFonts w:ascii="Arial" w:hAnsi="Arial"/>
      <w:color w:val="000000"/>
      <w:sz w:val="20"/>
    </w:rPr>
  </w:style>
  <w:style w:type="character" w:styleId="ListLabel26">
    <w:name w:val="ListLabel 26"/>
    <w:qFormat/>
    <w:rPr>
      <w:rFonts w:ascii="Arial" w:hAnsi="Arial"/>
      <w:b/>
      <w:strike w:val="false"/>
      <w:dstrike w:val="false"/>
      <w:sz w:val="20"/>
      <w:u w:val="none"/>
      <w:effect w:val="none"/>
    </w:rPr>
  </w:style>
  <w:style w:type="character" w:styleId="ListLabel27">
    <w:name w:val="ListLabel 27"/>
    <w:qFormat/>
    <w:rPr>
      <w:rFonts w:ascii="Arial" w:hAnsi="Arial"/>
      <w:b/>
      <w:i w:val="false"/>
      <w:strike w:val="false"/>
      <w:dstrike w:val="false"/>
      <w:sz w:val="20"/>
    </w:rPr>
  </w:style>
  <w:style w:type="character" w:styleId="ListLabel28">
    <w:name w:val="ListLabel 28"/>
    <w:qFormat/>
    <w:rPr>
      <w:rFonts w:ascii="Arial" w:hAnsi="Arial"/>
      <w:b/>
      <w:strike w:val="false"/>
      <w:dstrike w:val="false"/>
      <w:sz w:val="20"/>
    </w:rPr>
  </w:style>
  <w:style w:type="character" w:styleId="ListLabel29">
    <w:name w:val="ListLabel 29"/>
    <w:qFormat/>
    <w:rPr>
      <w:rFonts w:ascii="Arial" w:hAnsi="Arial"/>
      <w:b/>
      <w:i w:val="false"/>
      <w:strike w:val="false"/>
      <w:dstrike w:val="false"/>
      <w:color w:val="00000A"/>
      <w:sz w:val="20"/>
    </w:rPr>
  </w:style>
  <w:style w:type="character" w:styleId="ListLabel30">
    <w:name w:val="ListLabel 30"/>
    <w:qFormat/>
    <w:rPr>
      <w:rFonts w:ascii="Arial" w:hAnsi="Arial"/>
      <w:b w:val="false"/>
      <w:i w:val="false"/>
      <w:strike w:val="false"/>
      <w:dstrike w:val="false"/>
      <w:color w:val="00000A"/>
      <w:sz w:val="20"/>
      <w:u w:val="none"/>
      <w:effect w:val="none"/>
    </w:rPr>
  </w:style>
  <w:style w:type="character" w:styleId="ListLabel31">
    <w:name w:val="ListLabel 31"/>
    <w:qFormat/>
    <w:rPr>
      <w:sz w:val="20"/>
      <w:szCs w:val="20"/>
    </w:rPr>
  </w:style>
  <w:style w:type="character" w:styleId="ListLabel32">
    <w:name w:val="ListLabel 32"/>
    <w:qFormat/>
    <w:rPr>
      <w:i w:val="false"/>
      <w:color w:val="00000A"/>
    </w:rPr>
  </w:style>
  <w:style w:type="character" w:styleId="ListLabel33">
    <w:name w:val="ListLabel 33"/>
    <w:qFormat/>
    <w:rPr>
      <w:rFonts w:ascii="Arial" w:hAnsi="Arial"/>
      <w:b/>
      <w:sz w:val="20"/>
    </w:rPr>
  </w:style>
  <w:style w:type="character" w:styleId="ListLabel34">
    <w:name w:val="ListLabel 34"/>
    <w:qFormat/>
    <w:rPr>
      <w:rFonts w:ascii="Arial" w:hAnsi="Arial" w:cs="Arial"/>
      <w:b/>
      <w:i w:val="false"/>
      <w:strike w:val="false"/>
      <w:dstrike w:val="false"/>
      <w:color w:val="00000A"/>
      <w:sz w:val="20"/>
      <w:szCs w:val="20"/>
      <w:u w:val="none"/>
    </w:rPr>
  </w:style>
  <w:style w:type="character" w:styleId="ListLabel35">
    <w:name w:val="ListLabel 35"/>
    <w:qFormat/>
    <w:rPr>
      <w:rFonts w:ascii="Arial" w:hAnsi="Arial" w:cs="Arial"/>
      <w:b w:val="false"/>
      <w:i w:val="false"/>
      <w:color w:val="00000A"/>
      <w:sz w:val="20"/>
      <w:szCs w:val="20"/>
    </w:rPr>
  </w:style>
  <w:style w:type="character" w:styleId="ListLabel36">
    <w:name w:val="ListLabel 36"/>
    <w:qFormat/>
    <w:rPr>
      <w:rFonts w:ascii="Arial" w:hAnsi="Arial"/>
      <w:b/>
      <w:i w:val="false"/>
      <w:iCs w:val="false"/>
      <w:color w:val="000000"/>
      <w:sz w:val="20"/>
    </w:rPr>
  </w:style>
  <w:style w:type="character" w:styleId="ListLabel37">
    <w:name w:val="ListLabel 37"/>
    <w:qFormat/>
    <w:rPr>
      <w:rFonts w:ascii="Arial" w:hAnsi="Arial"/>
      <w:color w:val="000000"/>
      <w:sz w:val="20"/>
    </w:rPr>
  </w:style>
  <w:style w:type="character" w:styleId="ListLabel38">
    <w:name w:val="ListLabel 38"/>
    <w:qFormat/>
    <w:rPr>
      <w:rFonts w:ascii="Arial" w:hAnsi="Arial"/>
      <w:b/>
      <w:strike w:val="false"/>
      <w:dstrike w:val="false"/>
      <w:sz w:val="20"/>
      <w:u w:val="none"/>
      <w:effect w:val="none"/>
    </w:rPr>
  </w:style>
  <w:style w:type="character" w:styleId="Nfase">
    <w:name w:val="Ênfase"/>
    <w:rPr>
      <w:i/>
      <w:iCs/>
    </w:rPr>
  </w:style>
  <w:style w:type="character" w:styleId="Smbolosdenumerao">
    <w:name w:val="Símbolos de numeração"/>
    <w:qFormat/>
    <w:rPr/>
  </w:style>
  <w:style w:type="character" w:styleId="Nfaseforte">
    <w:name w:val="Ênfase forte"/>
    <w:rPr>
      <w:b/>
      <w:bCs/>
    </w:rPr>
  </w:style>
  <w:style w:type="character" w:styleId="WW8Num5z0">
    <w:name w:val="WW8Num5z0"/>
    <w:qFormat/>
    <w:rPr>
      <w:rFonts w:ascii="Arial" w:hAnsi="Arial" w:cs="Arial"/>
      <w:b w:val="false"/>
      <w:i w:val="false"/>
      <w:sz w:val="22"/>
      <w:szCs w:val="22"/>
    </w:rPr>
  </w:style>
  <w:style w:type="character" w:styleId="ListLabel39">
    <w:name w:val="ListLabel 39"/>
    <w:qFormat/>
    <w:rPr>
      <w:rFonts w:ascii="Arial" w:hAnsi="Arial"/>
      <w:b/>
      <w:i w:val="false"/>
      <w:strike w:val="false"/>
      <w:dstrike w:val="false"/>
      <w:sz w:val="20"/>
    </w:rPr>
  </w:style>
  <w:style w:type="character" w:styleId="ListLabel40">
    <w:name w:val="ListLabel 40"/>
    <w:qFormat/>
    <w:rPr>
      <w:rFonts w:ascii="Arial" w:hAnsi="Arial"/>
      <w:b/>
      <w:strike w:val="false"/>
      <w:dstrike w:val="false"/>
      <w:sz w:val="20"/>
    </w:rPr>
  </w:style>
  <w:style w:type="character" w:styleId="ListLabel41">
    <w:name w:val="ListLabel 41"/>
    <w:qFormat/>
    <w:rPr>
      <w:rFonts w:ascii="Arial" w:hAnsi="Arial"/>
      <w:b/>
      <w:i w:val="false"/>
      <w:strike w:val="false"/>
      <w:dstrike w:val="false"/>
      <w:color w:val="00000A"/>
      <w:sz w:val="20"/>
    </w:rPr>
  </w:style>
  <w:style w:type="character" w:styleId="ListLabel42">
    <w:name w:val="ListLabel 42"/>
    <w:qFormat/>
    <w:rPr>
      <w:rFonts w:ascii="Arial" w:hAnsi="Arial"/>
      <w:b w:val="false"/>
      <w:i w:val="false"/>
      <w:strike w:val="false"/>
      <w:dstrike w:val="false"/>
      <w:color w:val="00000A"/>
      <w:sz w:val="20"/>
      <w:u w:val="none"/>
      <w:effect w:val="none"/>
    </w:rPr>
  </w:style>
  <w:style w:type="character" w:styleId="ListLabel43">
    <w:name w:val="ListLabel 43"/>
    <w:qFormat/>
    <w:rPr>
      <w:sz w:val="20"/>
      <w:szCs w:val="20"/>
    </w:rPr>
  </w:style>
  <w:style w:type="character" w:styleId="ListLabel44">
    <w:name w:val="ListLabel 44"/>
    <w:qFormat/>
    <w:rPr>
      <w:i w:val="false"/>
      <w:color w:val="00000A"/>
    </w:rPr>
  </w:style>
  <w:style w:type="character" w:styleId="ListLabel45">
    <w:name w:val="ListLabel 45"/>
    <w:qFormat/>
    <w:rPr>
      <w:rFonts w:ascii="Arial" w:hAnsi="Arial"/>
      <w:b/>
      <w:sz w:val="20"/>
    </w:rPr>
  </w:style>
  <w:style w:type="character" w:styleId="ListLabel46">
    <w:name w:val="ListLabel 46"/>
    <w:qFormat/>
    <w:rPr>
      <w:rFonts w:ascii="Arial" w:hAnsi="Arial" w:cs="Arial"/>
      <w:b/>
      <w:i w:val="false"/>
      <w:strike w:val="false"/>
      <w:dstrike w:val="false"/>
      <w:color w:val="00000A"/>
      <w:sz w:val="20"/>
      <w:szCs w:val="20"/>
      <w:u w:val="none"/>
    </w:rPr>
  </w:style>
  <w:style w:type="character" w:styleId="ListLabel47">
    <w:name w:val="ListLabel 47"/>
    <w:qFormat/>
    <w:rPr>
      <w:rFonts w:cs="Arial"/>
      <w:b w:val="false"/>
      <w:i w:val="false"/>
      <w:color w:val="00000A"/>
      <w:sz w:val="20"/>
      <w:szCs w:val="20"/>
    </w:rPr>
  </w:style>
  <w:style w:type="character" w:styleId="ListLabel48">
    <w:name w:val="ListLabel 48"/>
    <w:qFormat/>
    <w:rPr>
      <w:rFonts w:ascii="Arial" w:hAnsi="Arial"/>
      <w:b/>
      <w:i w:val="false"/>
      <w:iCs w:val="false"/>
      <w:color w:val="000000"/>
      <w:sz w:val="20"/>
    </w:rPr>
  </w:style>
  <w:style w:type="character" w:styleId="ListLabel49">
    <w:name w:val="ListLabel 49"/>
    <w:qFormat/>
    <w:rPr>
      <w:rFonts w:ascii="Arial" w:hAnsi="Arial"/>
      <w:color w:val="000000"/>
      <w:sz w:val="20"/>
    </w:rPr>
  </w:style>
  <w:style w:type="character" w:styleId="ListLabel50">
    <w:name w:val="ListLabel 50"/>
    <w:qFormat/>
    <w:rPr>
      <w:rFonts w:ascii="Arial" w:hAnsi="Arial"/>
      <w:b/>
      <w:strike w:val="false"/>
      <w:dstrike w:val="false"/>
      <w:sz w:val="20"/>
      <w:u w:val="none"/>
      <w:effect w:val="none"/>
    </w:rPr>
  </w:style>
  <w:style w:type="character" w:styleId="ListLabel51">
    <w:name w:val="ListLabel 51"/>
    <w:qFormat/>
    <w:rPr>
      <w:rFonts w:ascii="Arial" w:hAnsi="Arial" w:cs="Arial"/>
      <w:b w:val="false"/>
      <w:i w:val="false"/>
      <w:sz w:val="20"/>
      <w:szCs w:val="22"/>
    </w:rPr>
  </w:style>
  <w:style w:type="character" w:styleId="WW8Num19z0">
    <w:name w:val="WW8Num19z0"/>
    <w:qFormat/>
    <w:rPr>
      <w:rFonts w:ascii="Arial" w:hAnsi="Arial" w:eastAsia="ＭＳ ゴシック" w:cs="Arial"/>
      <w:b/>
      <w:bCs w:val="false"/>
      <w:i w:val="false"/>
      <w:iCs w:val="false"/>
      <w:vanish/>
      <w:sz w:val="20"/>
      <w:szCs w:val="20"/>
    </w:rPr>
  </w:style>
  <w:style w:type="character" w:styleId="WW8Num19z1">
    <w:name w:val="WW8Num19z1"/>
    <w:qFormat/>
    <w:rPr>
      <w:rFonts w:ascii="Arial" w:hAnsi="Arial" w:eastAsia="Zurich BT" w:cs="Arial"/>
      <w:b/>
      <w:bCs/>
      <w:i w:val="false"/>
      <w:iCs w:val="false"/>
      <w:vanish/>
      <w:sz w:val="20"/>
      <w:szCs w:val="20"/>
      <w:lang w:eastAsia="en-US"/>
    </w:rPr>
  </w:style>
  <w:style w:type="character" w:styleId="WW8Num19z2">
    <w:name w:val="WW8Num19z2"/>
    <w:qFormat/>
    <w:rPr>
      <w:rFonts w:eastAsia="Times New Roman" w:cs="Arial"/>
      <w:b w:val="false"/>
      <w:bCs/>
      <w:i w:val="false"/>
      <w:iCs w:val="false"/>
      <w:color w:val="00000A"/>
      <w:sz w:val="20"/>
      <w:szCs w:val="20"/>
      <w:lang w:eastAsia="en-US"/>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ListLabel52">
    <w:name w:val="ListLabel 52"/>
    <w:qFormat/>
    <w:rPr>
      <w:rFonts w:ascii="Arial" w:hAnsi="Arial"/>
      <w:b/>
      <w:i w:val="false"/>
      <w:strike w:val="false"/>
      <w:dstrike w:val="false"/>
      <w:sz w:val="20"/>
    </w:rPr>
  </w:style>
  <w:style w:type="character" w:styleId="ListLabel53">
    <w:name w:val="ListLabel 53"/>
    <w:qFormat/>
    <w:rPr>
      <w:rFonts w:ascii="Arial" w:hAnsi="Arial"/>
      <w:b/>
      <w:strike w:val="false"/>
      <w:dstrike w:val="false"/>
      <w:sz w:val="20"/>
    </w:rPr>
  </w:style>
  <w:style w:type="character" w:styleId="ListLabel54">
    <w:name w:val="ListLabel 54"/>
    <w:qFormat/>
    <w:rPr>
      <w:rFonts w:ascii="Arial" w:hAnsi="Arial"/>
      <w:b/>
      <w:i w:val="false"/>
      <w:strike w:val="false"/>
      <w:dstrike w:val="false"/>
      <w:color w:val="00000A"/>
      <w:sz w:val="20"/>
    </w:rPr>
  </w:style>
  <w:style w:type="character" w:styleId="ListLabel55">
    <w:name w:val="ListLabel 55"/>
    <w:qFormat/>
    <w:rPr>
      <w:rFonts w:ascii="Arial" w:hAnsi="Arial"/>
      <w:b w:val="false"/>
      <w:i w:val="false"/>
      <w:strike w:val="false"/>
      <w:dstrike w:val="false"/>
      <w:color w:val="00000A"/>
      <w:sz w:val="20"/>
      <w:u w:val="none"/>
      <w:effect w:val="none"/>
    </w:rPr>
  </w:style>
  <w:style w:type="character" w:styleId="ListLabel56">
    <w:name w:val="ListLabel 56"/>
    <w:qFormat/>
    <w:rPr>
      <w:sz w:val="20"/>
      <w:szCs w:val="20"/>
    </w:rPr>
  </w:style>
  <w:style w:type="character" w:styleId="ListLabel57">
    <w:name w:val="ListLabel 57"/>
    <w:qFormat/>
    <w:rPr>
      <w:i w:val="false"/>
      <w:color w:val="00000A"/>
    </w:rPr>
  </w:style>
  <w:style w:type="character" w:styleId="ListLabel58">
    <w:name w:val="ListLabel 58"/>
    <w:qFormat/>
    <w:rPr>
      <w:rFonts w:ascii="Arial" w:hAnsi="Arial"/>
      <w:b/>
      <w:sz w:val="20"/>
    </w:rPr>
  </w:style>
  <w:style w:type="character" w:styleId="ListLabel59">
    <w:name w:val="ListLabel 59"/>
    <w:qFormat/>
    <w:rPr>
      <w:rFonts w:ascii="Arial" w:hAnsi="Arial" w:cs="Arial"/>
      <w:b/>
      <w:i w:val="false"/>
      <w:strike w:val="false"/>
      <w:dstrike w:val="false"/>
      <w:color w:val="00000A"/>
      <w:sz w:val="20"/>
      <w:szCs w:val="20"/>
      <w:u w:val="none"/>
    </w:rPr>
  </w:style>
  <w:style w:type="character" w:styleId="ListLabel60">
    <w:name w:val="ListLabel 60"/>
    <w:qFormat/>
    <w:rPr>
      <w:rFonts w:cs="Arial"/>
      <w:b w:val="false"/>
      <w:i w:val="false"/>
      <w:color w:val="00000A"/>
      <w:sz w:val="20"/>
      <w:szCs w:val="20"/>
    </w:rPr>
  </w:style>
  <w:style w:type="character" w:styleId="ListLabel61">
    <w:name w:val="ListLabel 61"/>
    <w:qFormat/>
    <w:rPr>
      <w:rFonts w:ascii="Arial" w:hAnsi="Arial"/>
      <w:b/>
      <w:i w:val="false"/>
      <w:iCs w:val="false"/>
      <w:color w:val="000000"/>
      <w:sz w:val="20"/>
    </w:rPr>
  </w:style>
  <w:style w:type="character" w:styleId="ListLabel62">
    <w:name w:val="ListLabel 62"/>
    <w:qFormat/>
    <w:rPr>
      <w:rFonts w:ascii="Arial" w:hAnsi="Arial"/>
      <w:color w:val="000000"/>
      <w:sz w:val="20"/>
    </w:rPr>
  </w:style>
  <w:style w:type="character" w:styleId="ListLabel63">
    <w:name w:val="ListLabel 63"/>
    <w:qFormat/>
    <w:rPr>
      <w:rFonts w:ascii="Arial" w:hAnsi="Arial"/>
      <w:b/>
      <w:strike w:val="false"/>
      <w:dstrike w:val="false"/>
      <w:sz w:val="20"/>
      <w:u w:val="none"/>
      <w:effect w:val="none"/>
    </w:rPr>
  </w:style>
  <w:style w:type="character" w:styleId="ListLabel64">
    <w:name w:val="ListLabel 64"/>
    <w:qFormat/>
    <w:rPr>
      <w:rFonts w:ascii="Arial" w:hAnsi="Arial" w:cs="Arial"/>
      <w:b w:val="false"/>
      <w:i w:val="false"/>
      <w:sz w:val="20"/>
      <w:szCs w:val="22"/>
    </w:rPr>
  </w:style>
  <w:style w:type="character" w:styleId="ListLabel65">
    <w:name w:val="ListLabel 65"/>
    <w:qFormat/>
    <w:rPr>
      <w:rFonts w:ascii="Arial" w:hAnsi="Arial" w:eastAsia="ＭＳ ゴシック" w:cs="Arial"/>
      <w:b/>
      <w:bCs w:val="false"/>
      <w:i w:val="false"/>
      <w:iCs w:val="false"/>
      <w:vanish/>
      <w:sz w:val="20"/>
      <w:szCs w:val="20"/>
    </w:rPr>
  </w:style>
  <w:style w:type="character" w:styleId="ListLabel66">
    <w:name w:val="ListLabel 66"/>
    <w:qFormat/>
    <w:rPr>
      <w:rFonts w:ascii="Arial" w:hAnsi="Arial" w:eastAsia="Zurich BT" w:cs="Arial"/>
      <w:b w:val="false"/>
      <w:bCs/>
      <w:i w:val="false"/>
      <w:iCs w:val="false"/>
      <w:vanish/>
      <w:sz w:val="20"/>
      <w:szCs w:val="20"/>
      <w:lang w:eastAsia="en-US"/>
    </w:rPr>
  </w:style>
  <w:style w:type="character" w:styleId="ListLabel67">
    <w:name w:val="ListLabel 67"/>
    <w:qFormat/>
    <w:rPr>
      <w:rFonts w:ascii="Arial" w:hAnsi="Arial" w:eastAsia="Times New Roman" w:cs="Arial"/>
      <w:b/>
      <w:bCs/>
      <w:i w:val="false"/>
      <w:iCs w:val="false"/>
      <w:color w:val="00000A"/>
      <w:sz w:val="20"/>
      <w:szCs w:val="20"/>
      <w:lang w:eastAsia="en-US"/>
    </w:rPr>
  </w:style>
  <w:style w:type="character" w:styleId="ListLabel68">
    <w:name w:val="ListLabel 68"/>
    <w:qFormat/>
    <w:rPr>
      <w:rFonts w:ascii="Arial" w:hAnsi="Arial"/>
      <w:b/>
      <w:i w:val="false"/>
      <w:strike w:val="false"/>
      <w:dstrike w:val="false"/>
      <w:sz w:val="20"/>
    </w:rPr>
  </w:style>
  <w:style w:type="character" w:styleId="ListLabel69">
    <w:name w:val="ListLabel 69"/>
    <w:qFormat/>
    <w:rPr>
      <w:rFonts w:ascii="Arial" w:hAnsi="Arial"/>
      <w:b/>
      <w:strike w:val="false"/>
      <w:dstrike w:val="false"/>
      <w:sz w:val="20"/>
    </w:rPr>
  </w:style>
  <w:style w:type="character" w:styleId="ListLabel70">
    <w:name w:val="ListLabel 70"/>
    <w:qFormat/>
    <w:rPr>
      <w:rFonts w:ascii="Arial" w:hAnsi="Arial"/>
      <w:b/>
      <w:i w:val="false"/>
      <w:strike w:val="false"/>
      <w:dstrike w:val="false"/>
      <w:color w:val="00000A"/>
      <w:sz w:val="20"/>
    </w:rPr>
  </w:style>
  <w:style w:type="character" w:styleId="ListLabel71">
    <w:name w:val="ListLabel 71"/>
    <w:qFormat/>
    <w:rPr>
      <w:rFonts w:ascii="Arial" w:hAnsi="Arial"/>
      <w:b w:val="false"/>
      <w:i w:val="false"/>
      <w:strike w:val="false"/>
      <w:dstrike w:val="false"/>
      <w:color w:val="00000A"/>
      <w:sz w:val="20"/>
      <w:u w:val="none"/>
      <w:effect w:val="none"/>
    </w:rPr>
  </w:style>
  <w:style w:type="character" w:styleId="ListLabel72">
    <w:name w:val="ListLabel 72"/>
    <w:qFormat/>
    <w:rPr>
      <w:sz w:val="20"/>
      <w:szCs w:val="20"/>
    </w:rPr>
  </w:style>
  <w:style w:type="character" w:styleId="ListLabel73">
    <w:name w:val="ListLabel 73"/>
    <w:qFormat/>
    <w:rPr>
      <w:i w:val="false"/>
      <w:color w:val="00000A"/>
    </w:rPr>
  </w:style>
  <w:style w:type="character" w:styleId="ListLabel74">
    <w:name w:val="ListLabel 74"/>
    <w:qFormat/>
    <w:rPr>
      <w:rFonts w:ascii="Arial" w:hAnsi="Arial"/>
      <w:b/>
      <w:sz w:val="20"/>
    </w:rPr>
  </w:style>
  <w:style w:type="character" w:styleId="ListLabel75">
    <w:name w:val="ListLabel 75"/>
    <w:qFormat/>
    <w:rPr>
      <w:rFonts w:ascii="Arial" w:hAnsi="Arial" w:cs="Arial"/>
      <w:b/>
      <w:i w:val="false"/>
      <w:strike w:val="false"/>
      <w:dstrike w:val="false"/>
      <w:color w:val="00000A"/>
      <w:sz w:val="20"/>
      <w:szCs w:val="20"/>
      <w:u w:val="none"/>
    </w:rPr>
  </w:style>
  <w:style w:type="character" w:styleId="ListLabel76">
    <w:name w:val="ListLabel 76"/>
    <w:qFormat/>
    <w:rPr>
      <w:rFonts w:cs="Arial"/>
      <w:b w:val="false"/>
      <w:i w:val="false"/>
      <w:color w:val="00000A"/>
      <w:sz w:val="20"/>
      <w:szCs w:val="20"/>
    </w:rPr>
  </w:style>
  <w:style w:type="character" w:styleId="ListLabel77">
    <w:name w:val="ListLabel 77"/>
    <w:qFormat/>
    <w:rPr>
      <w:rFonts w:ascii="Arial" w:hAnsi="Arial"/>
      <w:b/>
      <w:i w:val="false"/>
      <w:iCs w:val="false"/>
      <w:color w:val="000000"/>
      <w:sz w:val="20"/>
    </w:rPr>
  </w:style>
  <w:style w:type="character" w:styleId="ListLabel78">
    <w:name w:val="ListLabel 78"/>
    <w:qFormat/>
    <w:rPr>
      <w:rFonts w:ascii="Arial" w:hAnsi="Arial"/>
      <w:color w:val="000000"/>
      <w:sz w:val="20"/>
    </w:rPr>
  </w:style>
  <w:style w:type="character" w:styleId="ListLabel79">
    <w:name w:val="ListLabel 79"/>
    <w:qFormat/>
    <w:rPr>
      <w:rFonts w:ascii="Arial" w:hAnsi="Arial"/>
      <w:b/>
      <w:strike w:val="false"/>
      <w:dstrike w:val="false"/>
      <w:sz w:val="20"/>
      <w:u w:val="none"/>
      <w:effect w:val="none"/>
    </w:rPr>
  </w:style>
  <w:style w:type="character" w:styleId="ListLabel80">
    <w:name w:val="ListLabel 80"/>
    <w:qFormat/>
    <w:rPr>
      <w:rFonts w:ascii="Arial" w:hAnsi="Arial" w:cs="Arial"/>
      <w:b w:val="false"/>
      <w:i w:val="false"/>
      <w:sz w:val="20"/>
      <w:szCs w:val="22"/>
    </w:rPr>
  </w:style>
  <w:style w:type="character" w:styleId="ListLabel81">
    <w:name w:val="ListLabel 81"/>
    <w:qFormat/>
    <w:rPr>
      <w:rFonts w:ascii="Arial" w:hAnsi="Arial" w:eastAsia="ＭＳ ゴシック" w:cs="Arial"/>
      <w:b/>
      <w:bCs w:val="false"/>
      <w:i w:val="false"/>
      <w:iCs w:val="false"/>
      <w:vanish/>
      <w:sz w:val="20"/>
      <w:szCs w:val="20"/>
    </w:rPr>
  </w:style>
  <w:style w:type="character" w:styleId="ListLabel82">
    <w:name w:val="ListLabel 82"/>
    <w:qFormat/>
    <w:rPr>
      <w:rFonts w:ascii="Arial" w:hAnsi="Arial" w:eastAsia="Zurich BT" w:cs="Arial"/>
      <w:b w:val="false"/>
      <w:bCs/>
      <w:i w:val="false"/>
      <w:iCs w:val="false"/>
      <w:vanish/>
      <w:sz w:val="20"/>
      <w:szCs w:val="20"/>
      <w:lang w:eastAsia="en-US"/>
    </w:rPr>
  </w:style>
  <w:style w:type="character" w:styleId="ListLabel83">
    <w:name w:val="ListLabel 83"/>
    <w:qFormat/>
    <w:rPr>
      <w:rFonts w:ascii="Arial" w:hAnsi="Arial" w:eastAsia="Times New Roman" w:cs="Arial"/>
      <w:b/>
      <w:bCs/>
      <w:i w:val="false"/>
      <w:iCs w:val="false"/>
      <w:color w:val="00000A"/>
      <w:sz w:val="20"/>
      <w:szCs w:val="20"/>
      <w:lang w:eastAsia="en-US"/>
    </w:rPr>
  </w:style>
  <w:style w:type="character" w:styleId="ListLabel84">
    <w:name w:val="ListLabel 84"/>
    <w:qFormat/>
    <w:rPr>
      <w:rFonts w:ascii="Arial" w:hAnsi="Arial"/>
      <w:b/>
      <w:i w:val="false"/>
      <w:strike w:val="false"/>
      <w:dstrike w:val="false"/>
      <w:sz w:val="20"/>
    </w:rPr>
  </w:style>
  <w:style w:type="character" w:styleId="ListLabel85">
    <w:name w:val="ListLabel 85"/>
    <w:qFormat/>
    <w:rPr>
      <w:rFonts w:ascii="Arial" w:hAnsi="Arial"/>
      <w:b/>
      <w:strike w:val="false"/>
      <w:dstrike w:val="false"/>
      <w:sz w:val="20"/>
    </w:rPr>
  </w:style>
  <w:style w:type="character" w:styleId="ListLabel86">
    <w:name w:val="ListLabel 86"/>
    <w:qFormat/>
    <w:rPr>
      <w:rFonts w:ascii="Arial" w:hAnsi="Arial"/>
      <w:b/>
      <w:i w:val="false"/>
      <w:strike w:val="false"/>
      <w:dstrike w:val="false"/>
      <w:color w:val="00000A"/>
      <w:sz w:val="20"/>
    </w:rPr>
  </w:style>
  <w:style w:type="character" w:styleId="ListLabel87">
    <w:name w:val="ListLabel 87"/>
    <w:qFormat/>
    <w:rPr>
      <w:rFonts w:ascii="Arial" w:hAnsi="Arial"/>
      <w:b w:val="false"/>
      <w:i w:val="false"/>
      <w:strike w:val="false"/>
      <w:dstrike w:val="false"/>
      <w:color w:val="00000A"/>
      <w:sz w:val="20"/>
      <w:u w:val="none"/>
      <w:effect w:val="none"/>
    </w:rPr>
  </w:style>
  <w:style w:type="character" w:styleId="ListLabel88">
    <w:name w:val="ListLabel 88"/>
    <w:qFormat/>
    <w:rPr>
      <w:sz w:val="20"/>
      <w:szCs w:val="20"/>
    </w:rPr>
  </w:style>
  <w:style w:type="character" w:styleId="ListLabel89">
    <w:name w:val="ListLabel 89"/>
    <w:qFormat/>
    <w:rPr>
      <w:i w:val="false"/>
      <w:color w:val="00000A"/>
    </w:rPr>
  </w:style>
  <w:style w:type="character" w:styleId="ListLabel90">
    <w:name w:val="ListLabel 90"/>
    <w:qFormat/>
    <w:rPr>
      <w:rFonts w:ascii="Arial" w:hAnsi="Arial"/>
      <w:b/>
      <w:sz w:val="20"/>
    </w:rPr>
  </w:style>
  <w:style w:type="character" w:styleId="ListLabel91">
    <w:name w:val="ListLabel 91"/>
    <w:qFormat/>
    <w:rPr>
      <w:rFonts w:ascii="Arial" w:hAnsi="Arial" w:cs="Arial"/>
      <w:b/>
      <w:i w:val="false"/>
      <w:strike w:val="false"/>
      <w:dstrike w:val="false"/>
      <w:color w:val="00000A"/>
      <w:sz w:val="20"/>
      <w:szCs w:val="20"/>
      <w:u w:val="none"/>
    </w:rPr>
  </w:style>
  <w:style w:type="character" w:styleId="ListLabel92">
    <w:name w:val="ListLabel 92"/>
    <w:qFormat/>
    <w:rPr>
      <w:rFonts w:cs="Arial"/>
      <w:b w:val="false"/>
      <w:i w:val="false"/>
      <w:color w:val="00000A"/>
      <w:sz w:val="20"/>
      <w:szCs w:val="20"/>
    </w:rPr>
  </w:style>
  <w:style w:type="character" w:styleId="ListLabel93">
    <w:name w:val="ListLabel 93"/>
    <w:qFormat/>
    <w:rPr>
      <w:rFonts w:ascii="Arial" w:hAnsi="Arial"/>
      <w:b/>
      <w:i w:val="false"/>
      <w:iCs w:val="false"/>
      <w:color w:val="000000"/>
      <w:sz w:val="20"/>
    </w:rPr>
  </w:style>
  <w:style w:type="character" w:styleId="ListLabel94">
    <w:name w:val="ListLabel 94"/>
    <w:qFormat/>
    <w:rPr>
      <w:rFonts w:ascii="Arial" w:hAnsi="Arial"/>
      <w:color w:val="000000"/>
      <w:sz w:val="20"/>
    </w:rPr>
  </w:style>
  <w:style w:type="character" w:styleId="ListLabel95">
    <w:name w:val="ListLabel 95"/>
    <w:qFormat/>
    <w:rPr>
      <w:rFonts w:ascii="Arial" w:hAnsi="Arial"/>
      <w:b/>
      <w:strike w:val="false"/>
      <w:dstrike w:val="false"/>
      <w:sz w:val="20"/>
      <w:u w:val="none"/>
      <w:effect w:val="none"/>
    </w:rPr>
  </w:style>
  <w:style w:type="character" w:styleId="ListLabel96">
    <w:name w:val="ListLabel 96"/>
    <w:qFormat/>
    <w:rPr>
      <w:rFonts w:ascii="Arial" w:hAnsi="Arial" w:cs="Arial"/>
      <w:b w:val="false"/>
      <w:i w:val="false"/>
      <w:sz w:val="20"/>
      <w:szCs w:val="22"/>
    </w:rPr>
  </w:style>
  <w:style w:type="character" w:styleId="ListLabel97">
    <w:name w:val="ListLabel 97"/>
    <w:qFormat/>
    <w:rPr>
      <w:rFonts w:ascii="Arial" w:hAnsi="Arial" w:eastAsia="ＭＳ ゴシック" w:cs="Arial"/>
      <w:b/>
      <w:bCs w:val="false"/>
      <w:i w:val="false"/>
      <w:iCs w:val="false"/>
      <w:vanish/>
      <w:sz w:val="20"/>
      <w:szCs w:val="20"/>
    </w:rPr>
  </w:style>
  <w:style w:type="character" w:styleId="ListLabel98">
    <w:name w:val="ListLabel 98"/>
    <w:qFormat/>
    <w:rPr>
      <w:rFonts w:ascii="Arial" w:hAnsi="Arial" w:eastAsia="Zurich BT" w:cs="Arial"/>
      <w:b w:val="false"/>
      <w:bCs/>
      <w:i w:val="false"/>
      <w:iCs w:val="false"/>
      <w:vanish/>
      <w:sz w:val="20"/>
      <w:szCs w:val="20"/>
      <w:lang w:eastAsia="en-US"/>
    </w:rPr>
  </w:style>
  <w:style w:type="character" w:styleId="ListLabel99">
    <w:name w:val="ListLabel 99"/>
    <w:qFormat/>
    <w:rPr>
      <w:rFonts w:ascii="Arial" w:hAnsi="Arial" w:eastAsia="Times New Roman" w:cs="Arial"/>
      <w:b/>
      <w:bCs/>
      <w:i w:val="false"/>
      <w:iCs w:val="false"/>
      <w:color w:val="00000A"/>
      <w:sz w:val="20"/>
      <w:szCs w:val="20"/>
      <w:lang w:eastAsia="en-US"/>
    </w:rPr>
  </w:style>
  <w:style w:type="character" w:styleId="ListLabel100">
    <w:name w:val="ListLabel 100"/>
    <w:qFormat/>
    <w:rPr>
      <w:rFonts w:ascii="Arial" w:hAnsi="Arial"/>
      <w:b/>
      <w:i w:val="false"/>
      <w:strike w:val="false"/>
      <w:dstrike w:val="false"/>
      <w:sz w:val="20"/>
    </w:rPr>
  </w:style>
  <w:style w:type="character" w:styleId="ListLabel101">
    <w:name w:val="ListLabel 101"/>
    <w:qFormat/>
    <w:rPr>
      <w:rFonts w:ascii="Arial" w:hAnsi="Arial"/>
      <w:b/>
      <w:strike w:val="false"/>
      <w:dstrike w:val="false"/>
      <w:sz w:val="20"/>
    </w:rPr>
  </w:style>
  <w:style w:type="character" w:styleId="ListLabel102">
    <w:name w:val="ListLabel 102"/>
    <w:qFormat/>
    <w:rPr>
      <w:rFonts w:ascii="Arial" w:hAnsi="Arial"/>
      <w:b/>
      <w:i w:val="false"/>
      <w:strike w:val="false"/>
      <w:dstrike w:val="false"/>
      <w:color w:val="00000A"/>
      <w:sz w:val="20"/>
    </w:rPr>
  </w:style>
  <w:style w:type="character" w:styleId="ListLabel103">
    <w:name w:val="ListLabel 103"/>
    <w:qFormat/>
    <w:rPr>
      <w:rFonts w:ascii="Arial" w:hAnsi="Arial"/>
      <w:b w:val="false"/>
      <w:i w:val="false"/>
      <w:strike w:val="false"/>
      <w:dstrike w:val="false"/>
      <w:color w:val="00000A"/>
      <w:sz w:val="20"/>
      <w:u w:val="none"/>
      <w:effect w:val="none"/>
    </w:rPr>
  </w:style>
  <w:style w:type="character" w:styleId="ListLabel104">
    <w:name w:val="ListLabel 104"/>
    <w:qFormat/>
    <w:rPr>
      <w:sz w:val="20"/>
      <w:szCs w:val="20"/>
    </w:rPr>
  </w:style>
  <w:style w:type="character" w:styleId="ListLabel105">
    <w:name w:val="ListLabel 105"/>
    <w:qFormat/>
    <w:rPr>
      <w:i w:val="false"/>
      <w:color w:val="00000A"/>
    </w:rPr>
  </w:style>
  <w:style w:type="character" w:styleId="ListLabel106">
    <w:name w:val="ListLabel 106"/>
    <w:qFormat/>
    <w:rPr>
      <w:rFonts w:ascii="Arial" w:hAnsi="Arial"/>
      <w:b/>
      <w:sz w:val="20"/>
    </w:rPr>
  </w:style>
  <w:style w:type="character" w:styleId="ListLabel107">
    <w:name w:val="ListLabel 107"/>
    <w:qFormat/>
    <w:rPr>
      <w:rFonts w:ascii="Arial" w:hAnsi="Arial" w:cs="Arial"/>
      <w:b/>
      <w:i w:val="false"/>
      <w:strike w:val="false"/>
      <w:dstrike w:val="false"/>
      <w:color w:val="00000A"/>
      <w:sz w:val="20"/>
      <w:szCs w:val="20"/>
      <w:u w:val="none"/>
    </w:rPr>
  </w:style>
  <w:style w:type="character" w:styleId="ListLabel108">
    <w:name w:val="ListLabel 108"/>
    <w:qFormat/>
    <w:rPr>
      <w:rFonts w:cs="Arial"/>
      <w:b w:val="false"/>
      <w:i w:val="false"/>
      <w:color w:val="00000A"/>
      <w:sz w:val="20"/>
      <w:szCs w:val="20"/>
    </w:rPr>
  </w:style>
  <w:style w:type="character" w:styleId="ListLabel109">
    <w:name w:val="ListLabel 109"/>
    <w:qFormat/>
    <w:rPr>
      <w:rFonts w:ascii="Arial" w:hAnsi="Arial"/>
      <w:b/>
      <w:i w:val="false"/>
      <w:iCs w:val="false"/>
      <w:color w:val="000000"/>
      <w:sz w:val="20"/>
    </w:rPr>
  </w:style>
  <w:style w:type="character" w:styleId="ListLabel110">
    <w:name w:val="ListLabel 110"/>
    <w:qFormat/>
    <w:rPr>
      <w:rFonts w:ascii="Arial" w:hAnsi="Arial"/>
      <w:color w:val="000000"/>
      <w:sz w:val="20"/>
    </w:rPr>
  </w:style>
  <w:style w:type="character" w:styleId="ListLabel111">
    <w:name w:val="ListLabel 111"/>
    <w:qFormat/>
    <w:rPr>
      <w:rFonts w:ascii="Arial" w:hAnsi="Arial"/>
      <w:b/>
      <w:strike w:val="false"/>
      <w:dstrike w:val="false"/>
      <w:sz w:val="20"/>
      <w:u w:val="none"/>
      <w:effect w:val="none"/>
    </w:rPr>
  </w:style>
  <w:style w:type="character" w:styleId="ListLabel112">
    <w:name w:val="ListLabel 112"/>
    <w:qFormat/>
    <w:rPr>
      <w:rFonts w:ascii="Arial" w:hAnsi="Arial" w:cs="Arial"/>
      <w:b w:val="false"/>
      <w:i w:val="false"/>
      <w:sz w:val="20"/>
      <w:szCs w:val="22"/>
    </w:rPr>
  </w:style>
  <w:style w:type="character" w:styleId="ListLabel113">
    <w:name w:val="ListLabel 113"/>
    <w:qFormat/>
    <w:rPr>
      <w:rFonts w:ascii="Arial" w:hAnsi="Arial" w:eastAsia="ＭＳ ゴシック" w:cs="Arial"/>
      <w:b/>
      <w:bCs w:val="false"/>
      <w:i w:val="false"/>
      <w:iCs w:val="false"/>
      <w:vanish/>
      <w:sz w:val="20"/>
      <w:szCs w:val="20"/>
    </w:rPr>
  </w:style>
  <w:style w:type="character" w:styleId="ListLabel114">
    <w:name w:val="ListLabel 114"/>
    <w:qFormat/>
    <w:rPr>
      <w:rFonts w:ascii="Arial" w:hAnsi="Arial" w:eastAsia="Zurich BT" w:cs="Arial"/>
      <w:b w:val="false"/>
      <w:bCs/>
      <w:i w:val="false"/>
      <w:iCs w:val="false"/>
      <w:vanish/>
      <w:sz w:val="20"/>
      <w:szCs w:val="20"/>
      <w:lang w:eastAsia="en-US"/>
    </w:rPr>
  </w:style>
  <w:style w:type="character" w:styleId="ListLabel115">
    <w:name w:val="ListLabel 115"/>
    <w:qFormat/>
    <w:rPr>
      <w:rFonts w:ascii="Arial" w:hAnsi="Arial" w:eastAsia="Times New Roman" w:cs="Arial"/>
      <w:b/>
      <w:bCs/>
      <w:i w:val="false"/>
      <w:iCs w:val="false"/>
      <w:color w:val="00000A"/>
      <w:sz w:val="20"/>
      <w:szCs w:val="20"/>
      <w:lang w:eastAsia="en-US"/>
    </w:rPr>
  </w:style>
  <w:style w:type="character" w:styleId="ListLabel116">
    <w:name w:val="ListLabel 116"/>
    <w:qFormat/>
    <w:rPr>
      <w:rFonts w:ascii="Arial" w:hAnsi="Arial"/>
      <w:b/>
      <w:i w:val="false"/>
      <w:strike w:val="false"/>
      <w:dstrike w:val="false"/>
      <w:sz w:val="20"/>
    </w:rPr>
  </w:style>
  <w:style w:type="character" w:styleId="ListLabel117">
    <w:name w:val="ListLabel 117"/>
    <w:qFormat/>
    <w:rPr>
      <w:rFonts w:ascii="Arial" w:hAnsi="Arial"/>
      <w:b/>
      <w:strike w:val="false"/>
      <w:dstrike w:val="false"/>
      <w:sz w:val="20"/>
    </w:rPr>
  </w:style>
  <w:style w:type="character" w:styleId="ListLabel118">
    <w:name w:val="ListLabel 118"/>
    <w:qFormat/>
    <w:rPr>
      <w:rFonts w:ascii="Arial" w:hAnsi="Arial"/>
      <w:b/>
      <w:i w:val="false"/>
      <w:strike w:val="false"/>
      <w:dstrike w:val="false"/>
      <w:color w:val="00000A"/>
      <w:sz w:val="20"/>
    </w:rPr>
  </w:style>
  <w:style w:type="character" w:styleId="ListLabel119">
    <w:name w:val="ListLabel 119"/>
    <w:qFormat/>
    <w:rPr>
      <w:rFonts w:ascii="Arial" w:hAnsi="Arial"/>
      <w:b w:val="false"/>
      <w:i w:val="false"/>
      <w:strike w:val="false"/>
      <w:dstrike w:val="false"/>
      <w:color w:val="00000A"/>
      <w:sz w:val="20"/>
      <w:u w:val="none"/>
      <w:effect w:val="none"/>
    </w:rPr>
  </w:style>
  <w:style w:type="character" w:styleId="ListLabel120">
    <w:name w:val="ListLabel 120"/>
    <w:qFormat/>
    <w:rPr>
      <w:sz w:val="20"/>
      <w:szCs w:val="20"/>
    </w:rPr>
  </w:style>
  <w:style w:type="character" w:styleId="ListLabel121">
    <w:name w:val="ListLabel 121"/>
    <w:qFormat/>
    <w:rPr>
      <w:i w:val="false"/>
      <w:color w:val="00000A"/>
    </w:rPr>
  </w:style>
  <w:style w:type="character" w:styleId="ListLabel122">
    <w:name w:val="ListLabel 122"/>
    <w:qFormat/>
    <w:rPr>
      <w:rFonts w:ascii="Arial" w:hAnsi="Arial"/>
      <w:b/>
      <w:sz w:val="20"/>
    </w:rPr>
  </w:style>
  <w:style w:type="character" w:styleId="ListLabel123">
    <w:name w:val="ListLabel 123"/>
    <w:qFormat/>
    <w:rPr>
      <w:rFonts w:ascii="Arial" w:hAnsi="Arial" w:cs="Arial"/>
      <w:b/>
      <w:i w:val="false"/>
      <w:strike w:val="false"/>
      <w:dstrike w:val="false"/>
      <w:color w:val="00000A"/>
      <w:sz w:val="20"/>
      <w:szCs w:val="20"/>
      <w:u w:val="none"/>
    </w:rPr>
  </w:style>
  <w:style w:type="character" w:styleId="ListLabel124">
    <w:name w:val="ListLabel 124"/>
    <w:qFormat/>
    <w:rPr>
      <w:rFonts w:cs="Arial"/>
      <w:b w:val="false"/>
      <w:i w:val="false"/>
      <w:color w:val="00000A"/>
      <w:sz w:val="20"/>
      <w:szCs w:val="20"/>
    </w:rPr>
  </w:style>
  <w:style w:type="character" w:styleId="ListLabel125">
    <w:name w:val="ListLabel 125"/>
    <w:qFormat/>
    <w:rPr>
      <w:rFonts w:ascii="Arial" w:hAnsi="Arial"/>
      <w:b/>
      <w:i w:val="false"/>
      <w:iCs w:val="false"/>
      <w:color w:val="000000"/>
      <w:sz w:val="20"/>
    </w:rPr>
  </w:style>
  <w:style w:type="character" w:styleId="ListLabel126">
    <w:name w:val="ListLabel 126"/>
    <w:qFormat/>
    <w:rPr>
      <w:rFonts w:ascii="Arial" w:hAnsi="Arial"/>
      <w:color w:val="000000"/>
      <w:sz w:val="20"/>
    </w:rPr>
  </w:style>
  <w:style w:type="character" w:styleId="ListLabel127">
    <w:name w:val="ListLabel 127"/>
    <w:qFormat/>
    <w:rPr>
      <w:rFonts w:ascii="Arial" w:hAnsi="Arial"/>
      <w:b/>
      <w:strike w:val="false"/>
      <w:dstrike w:val="false"/>
      <w:sz w:val="20"/>
      <w:u w:val="none"/>
      <w:effect w:val="none"/>
    </w:rPr>
  </w:style>
  <w:style w:type="character" w:styleId="ListLabel128">
    <w:name w:val="ListLabel 128"/>
    <w:qFormat/>
    <w:rPr>
      <w:rFonts w:ascii="Arial" w:hAnsi="Arial" w:cs="Arial"/>
      <w:b w:val="false"/>
      <w:i w:val="false"/>
      <w:sz w:val="20"/>
      <w:szCs w:val="22"/>
    </w:rPr>
  </w:style>
  <w:style w:type="character" w:styleId="ListLabel129">
    <w:name w:val="ListLabel 129"/>
    <w:qFormat/>
    <w:rPr>
      <w:rFonts w:ascii="Arial" w:hAnsi="Arial" w:eastAsia="ＭＳ ゴシック" w:cs="Arial"/>
      <w:b/>
      <w:bCs w:val="false"/>
      <w:i w:val="false"/>
      <w:iCs w:val="false"/>
      <w:vanish/>
      <w:sz w:val="20"/>
      <w:szCs w:val="20"/>
    </w:rPr>
  </w:style>
  <w:style w:type="character" w:styleId="ListLabel130">
    <w:name w:val="ListLabel 130"/>
    <w:qFormat/>
    <w:rPr>
      <w:rFonts w:ascii="Arial" w:hAnsi="Arial" w:eastAsia="Zurich BT" w:cs="Arial"/>
      <w:b w:val="false"/>
      <w:bCs/>
      <w:i w:val="false"/>
      <w:iCs w:val="false"/>
      <w:vanish/>
      <w:sz w:val="20"/>
      <w:szCs w:val="20"/>
      <w:lang w:eastAsia="en-US"/>
    </w:rPr>
  </w:style>
  <w:style w:type="character" w:styleId="ListLabel131">
    <w:name w:val="ListLabel 131"/>
    <w:qFormat/>
    <w:rPr>
      <w:rFonts w:ascii="Arial" w:hAnsi="Arial" w:eastAsia="Times New Roman" w:cs="Arial"/>
      <w:b/>
      <w:bCs/>
      <w:i w:val="false"/>
      <w:iCs w:val="false"/>
      <w:color w:val="00000A"/>
      <w:sz w:val="20"/>
      <w:szCs w:val="20"/>
      <w:lang w:eastAsia="en-US"/>
    </w:rPr>
  </w:style>
  <w:style w:type="character" w:styleId="ListLabel132">
    <w:name w:val="ListLabel 132"/>
    <w:qFormat/>
    <w:rPr>
      <w:rFonts w:ascii="Arial" w:hAnsi="Arial"/>
      <w:b/>
      <w:i w:val="false"/>
      <w:strike w:val="false"/>
      <w:dstrike w:val="false"/>
      <w:sz w:val="20"/>
    </w:rPr>
  </w:style>
  <w:style w:type="character" w:styleId="ListLabel133">
    <w:name w:val="ListLabel 133"/>
    <w:qFormat/>
    <w:rPr>
      <w:rFonts w:ascii="Arial" w:hAnsi="Arial"/>
      <w:b/>
      <w:strike w:val="false"/>
      <w:dstrike w:val="false"/>
      <w:sz w:val="20"/>
    </w:rPr>
  </w:style>
  <w:style w:type="character" w:styleId="ListLabel134">
    <w:name w:val="ListLabel 134"/>
    <w:qFormat/>
    <w:rPr>
      <w:rFonts w:ascii="Arial" w:hAnsi="Arial"/>
      <w:b/>
      <w:i w:val="false"/>
      <w:strike w:val="false"/>
      <w:dstrike w:val="false"/>
      <w:color w:val="00000A"/>
      <w:sz w:val="20"/>
    </w:rPr>
  </w:style>
  <w:style w:type="character" w:styleId="ListLabel135">
    <w:name w:val="ListLabel 135"/>
    <w:qFormat/>
    <w:rPr>
      <w:rFonts w:ascii="Arial" w:hAnsi="Arial"/>
      <w:b w:val="false"/>
      <w:i w:val="false"/>
      <w:strike w:val="false"/>
      <w:dstrike w:val="false"/>
      <w:color w:val="00000A"/>
      <w:sz w:val="20"/>
      <w:u w:val="none"/>
      <w:effect w:val="none"/>
    </w:rPr>
  </w:style>
  <w:style w:type="character" w:styleId="ListLabel136">
    <w:name w:val="ListLabel 136"/>
    <w:qFormat/>
    <w:rPr>
      <w:sz w:val="20"/>
      <w:szCs w:val="20"/>
    </w:rPr>
  </w:style>
  <w:style w:type="character" w:styleId="ListLabel137">
    <w:name w:val="ListLabel 137"/>
    <w:qFormat/>
    <w:rPr>
      <w:i w:val="false"/>
      <w:color w:val="00000A"/>
    </w:rPr>
  </w:style>
  <w:style w:type="character" w:styleId="ListLabel138">
    <w:name w:val="ListLabel 138"/>
    <w:qFormat/>
    <w:rPr>
      <w:rFonts w:ascii="Arial" w:hAnsi="Arial"/>
      <w:b/>
      <w:sz w:val="20"/>
    </w:rPr>
  </w:style>
  <w:style w:type="character" w:styleId="ListLabel139">
    <w:name w:val="ListLabel 139"/>
    <w:qFormat/>
    <w:rPr>
      <w:rFonts w:ascii="Arial" w:hAnsi="Arial" w:cs="Arial"/>
      <w:b/>
      <w:i w:val="false"/>
      <w:strike w:val="false"/>
      <w:dstrike w:val="false"/>
      <w:color w:val="00000A"/>
      <w:sz w:val="20"/>
      <w:szCs w:val="20"/>
      <w:u w:val="none"/>
    </w:rPr>
  </w:style>
  <w:style w:type="character" w:styleId="ListLabel140">
    <w:name w:val="ListLabel 140"/>
    <w:qFormat/>
    <w:rPr>
      <w:rFonts w:cs="Arial"/>
      <w:b w:val="false"/>
      <w:i w:val="false"/>
      <w:color w:val="00000A"/>
      <w:sz w:val="20"/>
      <w:szCs w:val="20"/>
    </w:rPr>
  </w:style>
  <w:style w:type="character" w:styleId="ListLabel141">
    <w:name w:val="ListLabel 141"/>
    <w:qFormat/>
    <w:rPr>
      <w:rFonts w:ascii="Arial" w:hAnsi="Arial"/>
      <w:b/>
      <w:i w:val="false"/>
      <w:iCs w:val="false"/>
      <w:color w:val="000000"/>
      <w:sz w:val="20"/>
    </w:rPr>
  </w:style>
  <w:style w:type="character" w:styleId="ListLabel142">
    <w:name w:val="ListLabel 142"/>
    <w:qFormat/>
    <w:rPr>
      <w:rFonts w:ascii="Arial" w:hAnsi="Arial"/>
      <w:color w:val="000000"/>
      <w:sz w:val="20"/>
    </w:rPr>
  </w:style>
  <w:style w:type="character" w:styleId="ListLabel143">
    <w:name w:val="ListLabel 143"/>
    <w:qFormat/>
    <w:rPr>
      <w:rFonts w:ascii="Arial" w:hAnsi="Arial"/>
      <w:b/>
      <w:strike w:val="false"/>
      <w:dstrike w:val="false"/>
      <w:sz w:val="20"/>
      <w:u w:val="none"/>
      <w:effect w:val="none"/>
    </w:rPr>
  </w:style>
  <w:style w:type="character" w:styleId="ListLabel144">
    <w:name w:val="ListLabel 144"/>
    <w:qFormat/>
    <w:rPr>
      <w:rFonts w:ascii="Arial" w:hAnsi="Arial" w:cs="Arial"/>
      <w:b w:val="false"/>
      <w:i w:val="false"/>
      <w:sz w:val="20"/>
      <w:szCs w:val="22"/>
    </w:rPr>
  </w:style>
  <w:style w:type="character" w:styleId="ListLabel145">
    <w:name w:val="ListLabel 145"/>
    <w:qFormat/>
    <w:rPr>
      <w:rFonts w:ascii="Arial" w:hAnsi="Arial" w:eastAsia="ＭＳ ゴシック" w:cs="Arial"/>
      <w:b/>
      <w:bCs w:val="false"/>
      <w:i w:val="false"/>
      <w:iCs w:val="false"/>
      <w:vanish/>
      <w:sz w:val="20"/>
      <w:szCs w:val="20"/>
    </w:rPr>
  </w:style>
  <w:style w:type="character" w:styleId="ListLabel146">
    <w:name w:val="ListLabel 146"/>
    <w:qFormat/>
    <w:rPr>
      <w:rFonts w:ascii="Arial" w:hAnsi="Arial" w:eastAsia="Zurich BT" w:cs="Arial"/>
      <w:b w:val="false"/>
      <w:bCs/>
      <w:i w:val="false"/>
      <w:iCs w:val="false"/>
      <w:vanish/>
      <w:sz w:val="20"/>
      <w:szCs w:val="20"/>
      <w:lang w:eastAsia="en-US"/>
    </w:rPr>
  </w:style>
  <w:style w:type="character" w:styleId="ListLabel147">
    <w:name w:val="ListLabel 147"/>
    <w:qFormat/>
    <w:rPr>
      <w:rFonts w:ascii="Arial" w:hAnsi="Arial" w:eastAsia="Times New Roman" w:cs="Arial"/>
      <w:b/>
      <w:bCs/>
      <w:i w:val="false"/>
      <w:iCs w:val="false"/>
      <w:color w:val="00000A"/>
      <w:sz w:val="20"/>
      <w:szCs w:val="20"/>
      <w:lang w:eastAsia="en-US"/>
    </w:rPr>
  </w:style>
  <w:style w:type="character" w:styleId="ListLabel148">
    <w:name w:val="ListLabel 148"/>
    <w:qFormat/>
    <w:rPr>
      <w:rFonts w:ascii="Arial" w:hAnsi="Arial"/>
      <w:b/>
      <w:i w:val="false"/>
      <w:strike w:val="false"/>
      <w:dstrike w:val="false"/>
      <w:sz w:val="20"/>
    </w:rPr>
  </w:style>
  <w:style w:type="character" w:styleId="ListLabel149">
    <w:name w:val="ListLabel 149"/>
    <w:qFormat/>
    <w:rPr>
      <w:rFonts w:ascii="Arial" w:hAnsi="Arial"/>
      <w:b/>
      <w:strike w:val="false"/>
      <w:dstrike w:val="false"/>
      <w:sz w:val="20"/>
    </w:rPr>
  </w:style>
  <w:style w:type="character" w:styleId="ListLabel150">
    <w:name w:val="ListLabel 150"/>
    <w:qFormat/>
    <w:rPr>
      <w:rFonts w:ascii="Arial" w:hAnsi="Arial"/>
      <w:b/>
      <w:i w:val="false"/>
      <w:strike w:val="false"/>
      <w:dstrike w:val="false"/>
      <w:color w:val="00000A"/>
      <w:sz w:val="20"/>
    </w:rPr>
  </w:style>
  <w:style w:type="character" w:styleId="ListLabel151">
    <w:name w:val="ListLabel 151"/>
    <w:qFormat/>
    <w:rPr>
      <w:b w:val="false"/>
      <w:i w:val="false"/>
      <w:strike w:val="false"/>
      <w:dstrike w:val="false"/>
      <w:color w:val="00000A"/>
      <w:sz w:val="20"/>
      <w:u w:val="none"/>
      <w:effect w:val="none"/>
    </w:rPr>
  </w:style>
  <w:style w:type="character" w:styleId="ListLabel152">
    <w:name w:val="ListLabel 152"/>
    <w:qFormat/>
    <w:rPr>
      <w:sz w:val="20"/>
      <w:szCs w:val="20"/>
    </w:rPr>
  </w:style>
  <w:style w:type="character" w:styleId="ListLabel153">
    <w:name w:val="ListLabel 153"/>
    <w:qFormat/>
    <w:rPr>
      <w:i w:val="false"/>
      <w:color w:val="00000A"/>
    </w:rPr>
  </w:style>
  <w:style w:type="character" w:styleId="ListLabel154">
    <w:name w:val="ListLabel 154"/>
    <w:qFormat/>
    <w:rPr>
      <w:rFonts w:ascii="Arial" w:hAnsi="Arial"/>
      <w:b/>
      <w:sz w:val="20"/>
    </w:rPr>
  </w:style>
  <w:style w:type="character" w:styleId="ListLabel155">
    <w:name w:val="ListLabel 155"/>
    <w:qFormat/>
    <w:rPr>
      <w:rFonts w:ascii="Arial" w:hAnsi="Arial" w:cs="Arial"/>
      <w:b/>
      <w:i w:val="false"/>
      <w:strike w:val="false"/>
      <w:dstrike w:val="false"/>
      <w:color w:val="00000A"/>
      <w:sz w:val="20"/>
      <w:szCs w:val="20"/>
      <w:u w:val="none"/>
    </w:rPr>
  </w:style>
  <w:style w:type="character" w:styleId="ListLabel156">
    <w:name w:val="ListLabel 156"/>
    <w:qFormat/>
    <w:rPr>
      <w:rFonts w:cs="Arial"/>
      <w:b w:val="false"/>
      <w:i w:val="false"/>
      <w:color w:val="00000A"/>
      <w:sz w:val="20"/>
      <w:szCs w:val="20"/>
    </w:rPr>
  </w:style>
  <w:style w:type="character" w:styleId="ListLabel157">
    <w:name w:val="ListLabel 157"/>
    <w:qFormat/>
    <w:rPr>
      <w:rFonts w:ascii="Arial" w:hAnsi="Arial"/>
      <w:b/>
      <w:i w:val="false"/>
      <w:iCs w:val="false"/>
      <w:color w:val="000000"/>
      <w:sz w:val="20"/>
    </w:rPr>
  </w:style>
  <w:style w:type="character" w:styleId="ListLabel158">
    <w:name w:val="ListLabel 158"/>
    <w:qFormat/>
    <w:rPr>
      <w:rFonts w:ascii="Arial" w:hAnsi="Arial"/>
      <w:color w:val="000000"/>
      <w:sz w:val="20"/>
    </w:rPr>
  </w:style>
  <w:style w:type="character" w:styleId="ListLabel159">
    <w:name w:val="ListLabel 159"/>
    <w:qFormat/>
    <w:rPr>
      <w:rFonts w:ascii="Arial" w:hAnsi="Arial"/>
      <w:b/>
      <w:strike w:val="false"/>
      <w:dstrike w:val="false"/>
      <w:sz w:val="20"/>
      <w:u w:val="none"/>
      <w:effect w:val="none"/>
    </w:rPr>
  </w:style>
  <w:style w:type="character" w:styleId="ListLabel160">
    <w:name w:val="ListLabel 160"/>
    <w:qFormat/>
    <w:rPr>
      <w:rFonts w:ascii="Arial" w:hAnsi="Arial" w:cs="Arial"/>
      <w:b w:val="false"/>
      <w:i w:val="false"/>
      <w:sz w:val="20"/>
      <w:szCs w:val="22"/>
    </w:rPr>
  </w:style>
  <w:style w:type="character" w:styleId="ListLabel161">
    <w:name w:val="ListLabel 161"/>
    <w:qFormat/>
    <w:rPr>
      <w:rFonts w:ascii="Arial" w:hAnsi="Arial" w:eastAsia="ＭＳ ゴシック" w:cs="Arial"/>
      <w:b/>
      <w:bCs w:val="false"/>
      <w:i w:val="false"/>
      <w:iCs w:val="false"/>
      <w:vanish/>
      <w:sz w:val="20"/>
      <w:szCs w:val="20"/>
    </w:rPr>
  </w:style>
  <w:style w:type="character" w:styleId="ListLabel162">
    <w:name w:val="ListLabel 162"/>
    <w:qFormat/>
    <w:rPr>
      <w:rFonts w:ascii="Arial" w:hAnsi="Arial" w:eastAsia="Zurich BT" w:cs="Arial"/>
      <w:b w:val="false"/>
      <w:bCs/>
      <w:i w:val="false"/>
      <w:iCs w:val="false"/>
      <w:vanish/>
      <w:sz w:val="20"/>
      <w:szCs w:val="20"/>
      <w:lang w:eastAsia="en-US"/>
    </w:rPr>
  </w:style>
  <w:style w:type="character" w:styleId="ListLabel163">
    <w:name w:val="ListLabel 163"/>
    <w:qFormat/>
    <w:rPr>
      <w:rFonts w:ascii="Arial" w:hAnsi="Arial" w:eastAsia="Times New Roman" w:cs="Arial"/>
      <w:b/>
      <w:bCs/>
      <w:i w:val="false"/>
      <w:iCs w:val="false"/>
      <w:color w:val="00000A"/>
      <w:sz w:val="20"/>
      <w:szCs w:val="20"/>
      <w:lang w:eastAsia="en-US"/>
    </w:rPr>
  </w:style>
  <w:style w:type="character" w:styleId="ListLabel164">
    <w:name w:val="ListLabel 164"/>
    <w:qFormat/>
    <w:rPr>
      <w:rFonts w:ascii="Arial" w:hAnsi="Arial"/>
      <w:b/>
      <w:i w:val="false"/>
      <w:strike w:val="false"/>
      <w:dstrike w:val="false"/>
      <w:sz w:val="20"/>
    </w:rPr>
  </w:style>
  <w:style w:type="character" w:styleId="ListLabel165">
    <w:name w:val="ListLabel 165"/>
    <w:qFormat/>
    <w:rPr>
      <w:rFonts w:ascii="Arial" w:hAnsi="Arial"/>
      <w:b/>
      <w:strike w:val="false"/>
      <w:dstrike w:val="false"/>
      <w:sz w:val="20"/>
    </w:rPr>
  </w:style>
  <w:style w:type="character" w:styleId="ListLabel166">
    <w:name w:val="ListLabel 166"/>
    <w:qFormat/>
    <w:rPr>
      <w:rFonts w:ascii="Arial" w:hAnsi="Arial"/>
      <w:b/>
      <w:i w:val="false"/>
      <w:strike w:val="false"/>
      <w:dstrike w:val="false"/>
      <w:color w:val="00000A"/>
      <w:sz w:val="20"/>
    </w:rPr>
  </w:style>
  <w:style w:type="character" w:styleId="ListLabel167">
    <w:name w:val="ListLabel 167"/>
    <w:qFormat/>
    <w:rPr>
      <w:b w:val="false"/>
      <w:i w:val="false"/>
      <w:strike w:val="false"/>
      <w:dstrike w:val="false"/>
      <w:color w:val="00000A"/>
      <w:sz w:val="20"/>
      <w:u w:val="none"/>
      <w:effect w:val="none"/>
    </w:rPr>
  </w:style>
  <w:style w:type="character" w:styleId="ListLabel168">
    <w:name w:val="ListLabel 168"/>
    <w:qFormat/>
    <w:rPr>
      <w:sz w:val="20"/>
      <w:szCs w:val="20"/>
    </w:rPr>
  </w:style>
  <w:style w:type="character" w:styleId="ListLabel169">
    <w:name w:val="ListLabel 169"/>
    <w:qFormat/>
    <w:rPr>
      <w:i w:val="false"/>
      <w:color w:val="00000A"/>
    </w:rPr>
  </w:style>
  <w:style w:type="character" w:styleId="ListLabel170">
    <w:name w:val="ListLabel 170"/>
    <w:qFormat/>
    <w:rPr>
      <w:rFonts w:ascii="Arial" w:hAnsi="Arial"/>
      <w:b/>
      <w:sz w:val="20"/>
    </w:rPr>
  </w:style>
  <w:style w:type="character" w:styleId="ListLabel171">
    <w:name w:val="ListLabel 171"/>
    <w:qFormat/>
    <w:rPr>
      <w:rFonts w:ascii="Arial" w:hAnsi="Arial" w:cs="Arial"/>
      <w:b/>
      <w:i w:val="false"/>
      <w:strike w:val="false"/>
      <w:dstrike w:val="false"/>
      <w:color w:val="00000A"/>
      <w:sz w:val="20"/>
      <w:szCs w:val="20"/>
      <w:u w:val="none"/>
    </w:rPr>
  </w:style>
  <w:style w:type="character" w:styleId="ListLabel172">
    <w:name w:val="ListLabel 172"/>
    <w:qFormat/>
    <w:rPr>
      <w:rFonts w:cs="Arial"/>
      <w:b w:val="false"/>
      <w:i w:val="false"/>
      <w:color w:val="00000A"/>
      <w:sz w:val="20"/>
      <w:szCs w:val="20"/>
    </w:rPr>
  </w:style>
  <w:style w:type="character" w:styleId="ListLabel173">
    <w:name w:val="ListLabel 173"/>
    <w:qFormat/>
    <w:rPr>
      <w:rFonts w:ascii="Arial" w:hAnsi="Arial"/>
      <w:b/>
      <w:i w:val="false"/>
      <w:iCs w:val="false"/>
      <w:color w:val="000000"/>
      <w:sz w:val="20"/>
    </w:rPr>
  </w:style>
  <w:style w:type="character" w:styleId="ListLabel174">
    <w:name w:val="ListLabel 174"/>
    <w:qFormat/>
    <w:rPr>
      <w:rFonts w:ascii="Arial" w:hAnsi="Arial"/>
      <w:color w:val="000000"/>
      <w:sz w:val="20"/>
    </w:rPr>
  </w:style>
  <w:style w:type="character" w:styleId="ListLabel175">
    <w:name w:val="ListLabel 175"/>
    <w:qFormat/>
    <w:rPr>
      <w:rFonts w:ascii="Arial" w:hAnsi="Arial"/>
      <w:b/>
      <w:strike w:val="false"/>
      <w:dstrike w:val="false"/>
      <w:sz w:val="20"/>
      <w:u w:val="none"/>
      <w:effect w:val="none"/>
    </w:rPr>
  </w:style>
  <w:style w:type="character" w:styleId="ListLabel176">
    <w:name w:val="ListLabel 176"/>
    <w:qFormat/>
    <w:rPr>
      <w:rFonts w:ascii="Arial" w:hAnsi="Arial" w:cs="Arial"/>
      <w:b w:val="false"/>
      <w:i w:val="false"/>
      <w:sz w:val="20"/>
      <w:szCs w:val="22"/>
    </w:rPr>
  </w:style>
  <w:style w:type="character" w:styleId="ListLabel177">
    <w:name w:val="ListLabel 177"/>
    <w:qFormat/>
    <w:rPr>
      <w:rFonts w:ascii="Arial" w:hAnsi="Arial" w:eastAsia="ＭＳ ゴシック" w:cs="Arial"/>
      <w:b/>
      <w:bCs w:val="false"/>
      <w:i w:val="false"/>
      <w:iCs w:val="false"/>
      <w:vanish/>
      <w:sz w:val="20"/>
      <w:szCs w:val="20"/>
    </w:rPr>
  </w:style>
  <w:style w:type="character" w:styleId="ListLabel178">
    <w:name w:val="ListLabel 178"/>
    <w:qFormat/>
    <w:rPr>
      <w:rFonts w:ascii="Arial" w:hAnsi="Arial" w:eastAsia="Zurich BT" w:cs="Arial"/>
      <w:b w:val="false"/>
      <w:bCs/>
      <w:i w:val="false"/>
      <w:iCs w:val="false"/>
      <w:vanish/>
      <w:sz w:val="20"/>
      <w:szCs w:val="20"/>
      <w:lang w:eastAsia="en-US"/>
    </w:rPr>
  </w:style>
  <w:style w:type="character" w:styleId="ListLabel179">
    <w:name w:val="ListLabel 179"/>
    <w:qFormat/>
    <w:rPr>
      <w:rFonts w:ascii="Arial" w:hAnsi="Arial" w:eastAsia="Times New Roman" w:cs="Arial"/>
      <w:b/>
      <w:bCs/>
      <w:i w:val="false"/>
      <w:iCs w:val="false"/>
      <w:color w:val="00000A"/>
      <w:sz w:val="20"/>
      <w:szCs w:val="20"/>
      <w:lang w:eastAsia="en-US"/>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link w:val="CorpodetextoChar"/>
    <w:rsid w:val="006d2e66"/>
    <w:pPr>
      <w:spacing w:before="0" w:after="120"/>
    </w:pPr>
    <w:rPr/>
  </w:style>
  <w:style w:type="paragraph" w:styleId="Lista">
    <w:name w:val="Lista"/>
    <w:basedOn w:val="Corpode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WWTextosimples" w:customStyle="1">
    <w:name w:val="WW-Texto simples"/>
    <w:basedOn w:val="Normal"/>
    <w:qFormat/>
    <w:rsid w:val="006d2e66"/>
    <w:pPr/>
    <w:rPr>
      <w:rFonts w:ascii="Courier New" w:hAnsi="Courier New"/>
      <w:sz w:val="20"/>
    </w:rPr>
  </w:style>
  <w:style w:type="paragraph" w:styleId="WWCorpodetexto2" w:customStyle="1">
    <w:name w:val="WW-Corpo de texto 2"/>
    <w:basedOn w:val="Normal"/>
    <w:qFormat/>
    <w:rsid w:val="006d2e66"/>
    <w:pPr>
      <w:jc w:val="both"/>
    </w:pPr>
    <w:rPr>
      <w:b/>
      <w:bCs/>
    </w:rPr>
  </w:style>
  <w:style w:type="paragraph" w:styleId="WWCorpodetexto3" w:customStyle="1">
    <w:name w:val="WW-Corpo de texto 3"/>
    <w:basedOn w:val="Normal"/>
    <w:qFormat/>
    <w:rsid w:val="006d2e66"/>
    <w:pPr>
      <w:tabs>
        <w:tab w:val="left" w:pos="8820" w:leader="none"/>
      </w:tabs>
      <w:spacing w:lineRule="auto" w:line="360"/>
      <w:ind w:right="18" w:hanging="0"/>
      <w:jc w:val="both"/>
    </w:pPr>
    <w:rPr/>
  </w:style>
  <w:style w:type="paragraph" w:styleId="WWNormalWeb" w:customStyle="1">
    <w:name w:val="WW-Normal (Web)"/>
    <w:basedOn w:val="Normal"/>
    <w:qFormat/>
    <w:rsid w:val="006d2e66"/>
    <w:pPr>
      <w:spacing w:before="280" w:after="280"/>
    </w:pPr>
    <w:rPr>
      <w:rFonts w:ascii="Arial Unicode MS" w:hAnsi="Arial Unicode MS" w:cs="Arial Unicode MS"/>
    </w:rPr>
  </w:style>
  <w:style w:type="paragraph" w:styleId="Footnotetext">
    <w:name w:val="footnote text"/>
    <w:basedOn w:val="Normal"/>
    <w:semiHidden/>
    <w:qFormat/>
    <w:rsid w:val="006d2e66"/>
    <w:pPr>
      <w:suppressLineNumbers/>
      <w:ind w:left="283" w:hanging="283"/>
    </w:pPr>
    <w:rPr>
      <w:sz w:val="20"/>
    </w:rPr>
  </w:style>
  <w:style w:type="paragraph" w:styleId="GradeColoridanfase11" w:customStyle="1">
    <w:name w:val="Grade Colorida - Ênfase 11"/>
    <w:basedOn w:val="Normal"/>
    <w:next w:val="Normal"/>
    <w:link w:val="GradeColorida-nfase1Char"/>
    <w:uiPriority w:val="29"/>
    <w:qFormat/>
    <w:rsid w:val="00947f8b"/>
    <w:pPr>
      <w:widowControl/>
      <w:pBdr>
        <w:top w:val="single" w:sz="4" w:space="1" w:color="1F497D"/>
        <w:left w:val="single" w:sz="4" w:space="4" w:color="1F497D"/>
        <w:bottom w:val="single" w:sz="4" w:space="1" w:color="1F497D"/>
        <w:right w:val="single" w:sz="4" w:space="4" w:color="1F497D"/>
      </w:pBdr>
      <w:shd w:val="clear" w:color="auto" w:fill="FFFFCC"/>
      <w:suppressAutoHyphens w:val="false"/>
      <w:spacing w:before="120" w:after="0"/>
      <w:jc w:val="both"/>
    </w:pPr>
    <w:rPr>
      <w:rFonts w:ascii="Ecofont_Spranq_eco_Sans" w:hAnsi="Ecofont_Spranq_eco_Sans" w:eastAsia="Calibri" w:cs="Tahoma"/>
      <w:i/>
      <w:iCs/>
      <w:color w:val="000000"/>
      <w:sz w:val="20"/>
      <w:szCs w:val="24"/>
      <w:lang w:eastAsia="en-US"/>
    </w:rPr>
  </w:style>
  <w:style w:type="paragraph" w:styleId="BalloonText">
    <w:name w:val="Balloon Text"/>
    <w:basedOn w:val="Normal"/>
    <w:semiHidden/>
    <w:qFormat/>
    <w:rsid w:val="003f02cd"/>
    <w:pPr/>
    <w:rPr>
      <w:rFonts w:ascii="Tahoma" w:hAnsi="Tahoma" w:cs="Tahoma"/>
      <w:sz w:val="16"/>
      <w:szCs w:val="16"/>
    </w:rPr>
  </w:style>
  <w:style w:type="paragraph" w:styleId="NormalWeb">
    <w:name w:val="Normal (Web)"/>
    <w:basedOn w:val="Normal"/>
    <w:uiPriority w:val="99"/>
    <w:qFormat/>
    <w:rsid w:val="001672a3"/>
    <w:pPr>
      <w:widowControl/>
      <w:suppressAutoHyphens w:val="false"/>
      <w:spacing w:beforeAutospacing="1" w:afterAutospacing="1"/>
    </w:pPr>
    <w:rPr>
      <w:rFonts w:eastAsia="Times New Roman"/>
      <w:szCs w:val="24"/>
    </w:rPr>
  </w:style>
  <w:style w:type="paragraph" w:styleId="Cabealho">
    <w:name w:val="Cabeçalho"/>
    <w:basedOn w:val="Normal"/>
    <w:rsid w:val="009e0789"/>
    <w:pPr>
      <w:widowControl/>
      <w:tabs>
        <w:tab w:val="center" w:pos="4419" w:leader="none"/>
        <w:tab w:val="right" w:pos="8838" w:leader="none"/>
      </w:tabs>
    </w:pPr>
    <w:rPr>
      <w:rFonts w:eastAsia="Times New Roman"/>
      <w:sz w:val="20"/>
    </w:rPr>
  </w:style>
  <w:style w:type="paragraph" w:styleId="BodyTextIndent3">
    <w:name w:val="Body Text Indent 3"/>
    <w:basedOn w:val="Normal"/>
    <w:link w:val="Recuodecorpodetexto3Char"/>
    <w:qFormat/>
    <w:rsid w:val="00645e8a"/>
    <w:pPr>
      <w:spacing w:before="0" w:after="120"/>
      <w:ind w:left="283" w:hanging="0"/>
    </w:pPr>
    <w:rPr>
      <w:sz w:val="16"/>
      <w:szCs w:val="16"/>
    </w:rPr>
  </w:style>
  <w:style w:type="paragraph" w:styleId="ListParagraph">
    <w:name w:val="List Paragraph"/>
    <w:basedOn w:val="Normal"/>
    <w:uiPriority w:val="34"/>
    <w:qFormat/>
    <w:rsid w:val="002c5c2d"/>
    <w:pPr>
      <w:spacing w:before="0" w:after="0"/>
      <w:ind w:left="720" w:hanging="0"/>
      <w:contextualSpacing/>
    </w:pPr>
    <w:rPr/>
  </w:style>
  <w:style w:type="paragraph" w:styleId="Rodap">
    <w:name w:val="Rodapé"/>
    <w:basedOn w:val="Normal"/>
    <w:link w:val="RodapChar"/>
    <w:unhideWhenUsed/>
    <w:rsid w:val="006c78e5"/>
    <w:pPr>
      <w:tabs>
        <w:tab w:val="center" w:pos="4252" w:leader="none"/>
        <w:tab w:val="right" w:pos="8504" w:leader="none"/>
      </w:tabs>
    </w:pPr>
    <w:rPr/>
  </w:style>
  <w:style w:type="paragraph" w:styleId="Quote">
    <w:name w:val="Quote"/>
    <w:basedOn w:val="Normal"/>
    <w:next w:val="Normal"/>
    <w:link w:val="CitaoChar"/>
    <w:qFormat/>
    <w:rsid w:val="00c56126"/>
    <w:pPr>
      <w:widowControl/>
      <w:pBdr>
        <w:top w:val="single" w:sz="4" w:space="1" w:color="1F497D"/>
        <w:left w:val="single" w:sz="4" w:space="4" w:color="1F497D"/>
        <w:bottom w:val="single" w:sz="4" w:space="1" w:color="1F497D"/>
        <w:right w:val="single" w:sz="4" w:space="4" w:color="1F497D"/>
      </w:pBdr>
      <w:shd w:val="clear" w:color="auto" w:fill="FFFFCC"/>
      <w:suppressAutoHyphens w:val="false"/>
      <w:spacing w:before="120" w:after="0"/>
      <w:jc w:val="both"/>
    </w:pPr>
    <w:rPr>
      <w:rFonts w:ascii="Ecofont_Spranq_eco_Sans" w:hAnsi="Ecofont_Spranq_eco_Sans" w:eastAsia="Calibri" w:cs="Tahoma"/>
      <w:i/>
      <w:iCs/>
      <w:color w:val="000000"/>
      <w:sz w:val="20"/>
      <w:szCs w:val="24"/>
      <w:lang w:eastAsia="en-US"/>
    </w:rPr>
  </w:style>
  <w:style w:type="paragraph" w:styleId="Annotationtext">
    <w:name w:val="annotation text"/>
    <w:basedOn w:val="Normal"/>
    <w:link w:val="TextodecomentrioChar"/>
    <w:unhideWhenUsed/>
    <w:qFormat/>
    <w:rsid w:val="00b45276"/>
    <w:pPr/>
    <w:rPr>
      <w:sz w:val="20"/>
    </w:rPr>
  </w:style>
  <w:style w:type="paragraph" w:styleId="Annotationsubject">
    <w:name w:val="annotation subject"/>
    <w:basedOn w:val="Annotationtext"/>
    <w:link w:val="AssuntodocomentrioChar"/>
    <w:semiHidden/>
    <w:unhideWhenUsed/>
    <w:qFormat/>
    <w:rsid w:val="00b45276"/>
    <w:pPr/>
    <w:rPr>
      <w:b/>
      <w:bCs/>
    </w:rPr>
  </w:style>
  <w:style w:type="paragraph" w:styleId="SombreamentoMdio1nfase31" w:customStyle="1">
    <w:name w:val="Sombreamento Médio 1 - Ênfase 31"/>
    <w:basedOn w:val="Normal"/>
    <w:next w:val="Normal"/>
    <w:qFormat/>
    <w:rsid w:val="000854f2"/>
    <w:pPr>
      <w:widowControl/>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ascii="Ecofont_Spranq_eco_Sans" w:hAnsi="Ecofont_Spranq_eco_Sans" w:eastAsia="Calibri" w:cs="Tahoma"/>
      <w:i/>
      <w:iCs/>
      <w:color w:val="000000"/>
      <w:sz w:val="20"/>
      <w:szCs w:val="24"/>
      <w:lang w:eastAsia="zh-CN"/>
    </w:rPr>
  </w:style>
  <w:style w:type="paragraph" w:styleId="Citao1" w:customStyle="1">
    <w:name w:val="Citação1"/>
    <w:basedOn w:val="Normal"/>
    <w:next w:val="Normal"/>
    <w:link w:val="QuoteChar"/>
    <w:qFormat/>
    <w:rsid w:val="00e22eb4"/>
    <w:pPr>
      <w:widowControl/>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ascii="Ecofont_Spranq_eco_Sans" w:hAnsi="Ecofont_Spranq_eco_Sans" w:eastAsia="Calibri"/>
      <w:i/>
      <w:iCs/>
      <w:color w:val="000000"/>
      <w:sz w:val="20"/>
      <w:szCs w:val="24"/>
      <w:lang w:val="x-none" w:eastAsia="zh-CN"/>
    </w:rPr>
  </w:style>
  <w:style w:type="paragraph" w:styleId="Nivel2" w:customStyle="1">
    <w:name w:val="Nivel 2"/>
    <w:link w:val="Nivel2Char"/>
    <w:qFormat/>
    <w:rsid w:val="00c06dba"/>
    <w:pPr>
      <w:widowControl/>
      <w:bidi w:val="0"/>
      <w:spacing w:lineRule="auto" w:line="276" w:before="120" w:after="120"/>
      <w:jc w:val="both"/>
    </w:pPr>
    <w:rPr>
      <w:rFonts w:ascii="Ecofont_Spranq_eco_Sans" w:hAnsi="Ecofont_Spranq_eco_Sans" w:eastAsia="Arial Unicode MS" w:cs="Times New Roman"/>
      <w:color w:val="00000A"/>
      <w:sz w:val="24"/>
      <w:szCs w:val="20"/>
      <w:lang w:val="pt-BR" w:eastAsia="pt-BR" w:bidi="ar-SA"/>
    </w:rPr>
  </w:style>
  <w:style w:type="paragraph" w:styleId="Nivel1" w:customStyle="1">
    <w:name w:val="Nivel 1"/>
    <w:basedOn w:val="Nivel2"/>
    <w:link w:val="Nivel1Char"/>
    <w:qFormat/>
    <w:rsid w:val="0032466e"/>
    <w:pPr/>
    <w:rPr>
      <w:rFonts w:cs="Arial"/>
      <w:b/>
    </w:rPr>
  </w:style>
  <w:style w:type="paragraph" w:styleId="Nivel3" w:customStyle="1">
    <w:name w:val="Nivel 3"/>
    <w:basedOn w:val="Nivel2"/>
    <w:link w:val="Nivel3Char"/>
    <w:qFormat/>
    <w:rsid w:val="00c06dba"/>
    <w:pPr/>
    <w:rPr>
      <w:rFonts w:cs="Arial"/>
      <w:color w:val="000000"/>
    </w:rPr>
  </w:style>
  <w:style w:type="paragraph" w:styleId="Nivel4" w:customStyle="1">
    <w:name w:val="Nivel 4"/>
    <w:basedOn w:val="Nivel3"/>
    <w:link w:val="Nivel4Char"/>
    <w:qFormat/>
    <w:rsid w:val="0052053d"/>
    <w:pPr/>
    <w:rPr>
      <w:color w:val="00000A"/>
    </w:rPr>
  </w:style>
  <w:style w:type="paragraph" w:styleId="Nivel5" w:customStyle="1">
    <w:name w:val="Nivel 5"/>
    <w:basedOn w:val="Nivel4"/>
    <w:link w:val="Nivel5Char"/>
    <w:qFormat/>
    <w:rsid w:val="0052053d"/>
    <w:pPr/>
    <w:rPr/>
  </w:style>
  <w:style w:type="paragraph" w:styleId="PADRO" w:customStyle="1">
    <w:name w:val="PADRÃO"/>
    <w:qFormat/>
    <w:rsid w:val="000f1e58"/>
    <w:pPr>
      <w:keepNext/>
      <w:widowControl w:val="false"/>
      <w:shd w:val="clear" w:color="auto" w:fill="FFFFFF"/>
      <w:bidi w:val="0"/>
      <w:spacing w:lineRule="auto" w:line="276" w:before="119" w:after="119"/>
      <w:ind w:firstLine="567"/>
      <w:jc w:val="both"/>
    </w:pPr>
    <w:rPr>
      <w:rFonts w:ascii="Ecofont_Spranq_eco_Sans" w:hAnsi="Ecofont_Spranq_eco_Sans" w:eastAsia="WenQuanYi Micro Hei" w:cs="Lohit Hindi"/>
      <w:color w:val="00000A"/>
      <w:sz w:val="24"/>
      <w:szCs w:val="24"/>
      <w:lang w:val="pt-BR" w:eastAsia="zh-CN" w:bidi="hi-IN"/>
    </w:rPr>
  </w:style>
  <w:style w:type="paragraph" w:styleId="Paragraph" w:customStyle="1">
    <w:name w:val="paragraph"/>
    <w:basedOn w:val="Normal"/>
    <w:qFormat/>
    <w:rsid w:val="00491338"/>
    <w:pPr>
      <w:widowControl/>
      <w:suppressAutoHyphens w:val="false"/>
      <w:spacing w:beforeAutospacing="1" w:afterAutospacing="1"/>
    </w:pPr>
    <w:rPr>
      <w:rFonts w:eastAsia="Times New Roman"/>
      <w:szCs w:val="24"/>
    </w:rPr>
  </w:style>
  <w:style w:type="paragraph" w:styleId="Nivel01" w:customStyle="1">
    <w:name w:val="Nivel 01"/>
    <w:basedOn w:val="Ttulo1"/>
    <w:next w:val="Normal"/>
    <w:link w:val="Nivel01Char"/>
    <w:qFormat/>
    <w:rsid w:val="004130ce"/>
    <w:pPr>
      <w:widowControl/>
      <w:tabs>
        <w:tab w:val="left" w:pos="420" w:leader="none"/>
        <w:tab w:val="left" w:pos="567" w:leader="none"/>
      </w:tabs>
      <w:suppressAutoHyphens w:val="false"/>
      <w:spacing w:before="240" w:after="0"/>
      <w:ind w:left="0" w:hanging="0"/>
      <w:jc w:val="both"/>
    </w:pPr>
    <w:rPr>
      <w:rFonts w:ascii="Ecofont_Spranq_eco_Sans" w:hAnsi="Ecofont_Spranq_eco_Sans" w:cs="Times New Roman"/>
      <w:color w:val="000000"/>
      <w:sz w:val="20"/>
      <w:szCs w:val="20"/>
    </w:rPr>
  </w:style>
  <w:style w:type="paragraph" w:styleId="Xwestern" w:customStyle="1">
    <w:name w:val="x_western"/>
    <w:basedOn w:val="Normal"/>
    <w:qFormat/>
    <w:rsid w:val="004130ce"/>
    <w:pPr>
      <w:widowControl/>
      <w:suppressAutoHyphens w:val="false"/>
      <w:spacing w:beforeAutospacing="1" w:afterAutospacing="1"/>
    </w:pPr>
    <w:rPr>
      <w:rFonts w:eastAsia="Times New Roman"/>
      <w:szCs w:val="24"/>
    </w:rPr>
  </w:style>
  <w:style w:type="paragraph" w:styleId="Citao2" w:customStyle="1">
    <w:name w:val="citação 2"/>
    <w:basedOn w:val="Quote"/>
    <w:link w:val="citao2Char"/>
    <w:qFormat/>
    <w:rsid w:val="00c06a69"/>
    <w:pPr>
      <w:keepNext/>
      <w:pBdr>
        <w:top w:val="single" w:sz="4" w:space="0" w:color="1F497D"/>
        <w:left w:val="single" w:sz="4" w:space="0" w:color="1F497D"/>
        <w:bottom w:val="single" w:sz="4" w:space="0" w:color="1F497D"/>
        <w:right w:val="single" w:sz="4" w:space="0" w:color="1F497D"/>
      </w:pBdr>
      <w:shd w:val="clear" w:fill="FFFFCC"/>
      <w:tabs>
        <w:tab w:val="left" w:pos="708" w:leader="none"/>
      </w:tabs>
      <w:suppressAutoHyphens w:val="true"/>
      <w:overflowPunct w:val="false"/>
      <w:textAlignment w:val="baseline"/>
    </w:pPr>
    <w:rPr/>
  </w:style>
  <w:style w:type="paragraph" w:styleId="Western">
    <w:name w:val="western"/>
    <w:basedOn w:val="Normal"/>
    <w:qFormat/>
    <w:pPr>
      <w:spacing w:before="100" w:after="119"/>
    </w:pPr>
    <w:rPr>
      <w:sz w:val="24"/>
      <w:szCs w:val="24"/>
    </w:rPr>
  </w:style>
  <w:style w:type="paragraph" w:styleId="Basedondiceanaltico">
    <w:name w:val="Base do índice analítico"/>
    <w:basedOn w:val="Normal"/>
    <w:qFormat/>
    <w:pPr>
      <w:tabs>
        <w:tab w:val="right" w:pos="6480" w:leader="dot"/>
      </w:tabs>
      <w:spacing w:lineRule="atLeast" w:line="240" w:before="0" w:after="240"/>
    </w:pPr>
    <w:rPr>
      <w:rFonts w:ascii="Arial" w:hAnsi="Arial" w:cs="Arial"/>
      <w:spacing w:val="0"/>
    </w:rPr>
  </w:style>
  <w:style w:type="paragraph" w:styleId="Nivel11">
    <w:name w:val="Nivel1"/>
    <w:basedOn w:val="Ttulo1"/>
    <w:qFormat/>
    <w:pPr>
      <w:spacing w:lineRule="auto" w:line="276"/>
      <w:ind w:left="357" w:right="0" w:hanging="357"/>
      <w:jc w:val="both"/>
    </w:pPr>
    <w:rPr>
      <w:rFonts w:ascii="Arial" w:hAnsi="Arial" w:cs="Arial"/>
      <w:bCs w:val="false"/>
      <w:color w:val="000000"/>
      <w:sz w:val="20"/>
      <w:szCs w:val="20"/>
    </w:rPr>
  </w:style>
  <w:style w:type="paragraph" w:styleId="Standard">
    <w:name w:val="Standard"/>
    <w:qFormat/>
    <w:pPr>
      <w:widowControl w:val="false"/>
      <w:suppressAutoHyphens w:val="true"/>
      <w:bidi w:val="0"/>
      <w:jc w:val="left"/>
      <w:textAlignment w:val="baseline"/>
    </w:pPr>
    <w:rPr>
      <w:rFonts w:ascii="Times New Roman" w:hAnsi="Times New Roman" w:eastAsia="SimSun;宋体" w:cs="Mangal"/>
      <w:color w:val="00000A"/>
      <w:sz w:val="24"/>
      <w:szCs w:val="24"/>
      <w:lang w:val="pt-BR" w:eastAsia="zh-CN" w:bidi="hi-IN"/>
    </w:rPr>
  </w:style>
  <w:style w:type="paragraph" w:styleId="Contedodatabela">
    <w:name w:val="Conteúdo da tabela"/>
    <w:basedOn w:val="Normal"/>
    <w:qFormat/>
    <w:pPr/>
    <w:rPr/>
  </w:style>
  <w:style w:type="paragraph" w:styleId="Ttulodetabela">
    <w:name w:val="Título de tabela"/>
    <w:basedOn w:val="Contedodatabela"/>
    <w:qFormat/>
    <w:pPr/>
    <w:rPr/>
  </w:style>
  <w:style w:type="paragraph" w:styleId="PargrafodaLista">
    <w:name w:val="Parágrafo da Lista"/>
    <w:basedOn w:val="Normal"/>
    <w:qFormat/>
    <w:pPr>
      <w:spacing w:lineRule="auto" w:line="240" w:before="0" w:after="0"/>
      <w:ind w:left="720" w:right="0" w:hanging="0"/>
    </w:pPr>
    <w:rPr>
      <w:rFonts w:ascii="Arial" w:hAnsi="Arial" w:eastAsia="Times New Roman" w:cs="Arial"/>
    </w:rPr>
  </w:style>
  <w:style w:type="paragraph" w:styleId="Default">
    <w:name w:val="Default"/>
    <w:qFormat/>
    <w:pPr>
      <w:widowControl/>
      <w:suppressAutoHyphens w:val="true"/>
      <w:bidi w:val="0"/>
      <w:spacing w:lineRule="auto" w:line="240" w:before="0" w:after="0"/>
      <w:jc w:val="left"/>
    </w:pPr>
    <w:rPr>
      <w:rFonts w:ascii="Times New Roman" w:hAnsi="Times New Roman" w:eastAsia="SimSun" w:cs="Times New Roman"/>
      <w:color w:val="000000"/>
      <w:sz w:val="24"/>
      <w:szCs w:val="24"/>
      <w:lang w:val="pt-BR" w:eastAsia="zh-CN" w:bidi="hi-IN"/>
    </w:rPr>
  </w:style>
  <w:style w:type="numbering" w:styleId="NoList" w:default="1">
    <w:name w:val="No List"/>
    <w:uiPriority w:val="99"/>
    <w:semiHidden/>
    <w:unhideWhenUsed/>
  </w:style>
  <w:style w:type="numbering" w:styleId="WW8Num5">
    <w:name w:val="WW8Num5"/>
  </w:style>
  <w:style w:type="numbering" w:styleId="WW8Num19">
    <w:name w:val="WW8Num19"/>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59"/>
    <w:rsid w:val="00c06a6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atransparencia.gov.br/ceis" TargetMode="External"/><Relationship Id="rId3" Type="http://schemas.openxmlformats.org/officeDocument/2006/relationships/hyperlink" Target="http://www.cnj.jus.br/improbidade_adm/consultar_requerido.php" TargetMode="External"/><Relationship Id="rId4" Type="http://schemas.openxmlformats.org/officeDocument/2006/relationships/hyperlink" Target="http://www.comprasgovernamentais.gov.br/" TargetMode="External"/><Relationship Id="rId5" Type="http://schemas.openxmlformats.org/officeDocument/2006/relationships/hyperlink" Target="http://www.comprasngovernamentais.gov.br/" TargetMode="External"/><Relationship Id="rId6" Type="http://schemas.openxmlformats.org/officeDocument/2006/relationships/hyperlink" Target="http://www.camaqua.ifsul.edu.br/licitacoes-2019" TargetMode="Externa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2" ma:contentTypeDescription="Crie um novo documento." ma:contentTypeScope="" ma:versionID="9e6908334331629df63baeba333e73f2">
  <xsd:schema xmlns:xsd="http://www.w3.org/2001/XMLSchema" xmlns:xs="http://www.w3.org/2001/XMLSchema" xmlns:p="http://schemas.microsoft.com/office/2006/metadata/properties" xmlns:ns2="52c93ea8-e2de-466c-b401-d7fabeb9490e" targetNamespace="http://schemas.microsoft.com/office/2006/metadata/properties" ma:root="true" ma:fieldsID="e06af4715fa6bd06f29766db54ef24b2"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FDAC8-AC2D-4B1D-AF6B-AF20C5E0EA43}"/>
</file>

<file path=customXml/itemProps2.xml><?xml version="1.0" encoding="utf-8"?>
<ds:datastoreItem xmlns:ds="http://schemas.openxmlformats.org/officeDocument/2006/customXml" ds:itemID="{49C46589-A4BD-4EF0-A7DE-4DC2E66E2B9F}">
  <ds:schemaRefs>
    <ds:schemaRef ds:uri="http://schemas.microsoft.com/sharepoint/v3/contenttype/forms"/>
  </ds:schemaRefs>
</ds:datastoreItem>
</file>

<file path=customXml/itemProps3.xml><?xml version="1.0" encoding="utf-8"?>
<ds:datastoreItem xmlns:ds="http://schemas.openxmlformats.org/officeDocument/2006/customXml" ds:itemID="{329E09F3-FC36-4170-81F0-E1ABF5E76EE1}">
  <ds:schemaRefs>
    <ds:schemaRef ds:uri="http://purl.org/dc/dcmitype/"/>
    <ds:schemaRef ds:uri="http://purl.org/dc/terms/"/>
    <ds:schemaRef ds:uri="http://schemas.openxmlformats.org/package/2006/metadata/core-properties"/>
    <ds:schemaRef ds:uri="http://www.w3.org/XML/1998/namespace"/>
    <ds:schemaRef ds:uri="http://schemas.microsoft.com/office/2006/metadata/properties"/>
    <ds:schemaRef ds:uri="http://purl.org/dc/elements/1.1/"/>
    <ds:schemaRef ds:uri="http://schemas.microsoft.com/office/2006/documentManagement/types"/>
    <ds:schemaRef ds:uri="http://schemas.microsoft.com/office/infopath/2007/PartnerControls"/>
    <ds:schemaRef ds:uri="52c93ea8-e2de-466c-b401-d7fabeb9490e"/>
  </ds:schemaRefs>
</ds:datastoreItem>
</file>

<file path=customXml/itemProps4.xml><?xml version="1.0" encoding="utf-8"?>
<ds:datastoreItem xmlns:ds="http://schemas.openxmlformats.org/officeDocument/2006/customXml" ds:itemID="{62D31D72-7300-45E3-8DA1-E91526316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Application>LibreOffice/5.0.5.2$Windows_X86_64 LibreOffice_project/55b006a02d247b5f7215fc6ea0fde844b30035b3</Application>
  <Paragraphs>876</Paragraphs>
  <Company>EDUARDO DOTTI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2018-12-18T18:11:00Z</dcterms:created>
  <dc:creator>EDUARDO DOTTI</dc:creator>
  <dc:language>pt-BR</dc:language>
  <dcterms:modified xsi:type="dcterms:W3CDTF">2019-07-29T09:38:22Z</dcterms:modified>
  <cp:revision>31</cp:revision>
  <dc:title>HORÁRIO, DATA E LOCAL PARA A ENTREGA DA DOCUMENTAÇÃO E PROPOSTAS: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EDUARDO DOTTI</vt:lpwstr>
  </property>
  <property fmtid="{D5CDD505-2E9C-101B-9397-08002B2CF9AE}" pid="4" name="ContentTypeId">
    <vt:lpwstr>0x01010012A2765E7DFD38469B2E626874CD0041</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